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 </w:t>
            </w:r>
            <w:r>
              <w:rPr>
                <w:b/>
                <w:sz w:val="19"/>
              </w:rPr>
              <w:t>Now also load-bearing for the encrypted-export enrichment (5j/5k):</w:t>
            </w:r>
            <w:r>
              <w:rPr>
                <w:sz w:val="19"/>
              </w:rPr>
              <w:t xml:space="preserve"> the export pulls recency dates + IntelX leak-refs from the domain's last scan, but Render's free-tier disk is </w:t>
            </w:r>
            <w:r>
              <w:rPr>
                <w:b/>
                <w:sz w:val="19"/>
              </w:rPr>
              <w:t>ephemeral and wipes `scans.db` on every deploy</w:t>
            </w:r>
            <w:r>
              <w:rPr>
                <w:sz w:val="19"/>
              </w:rPr>
              <w:t xml:space="preserve"> — so a scan→deploy→export sequence silently drops the dates/leak-refs (export still returns credentials, just un-clustered). Persistent DB removes this. Interim: re-scan before exporting if a deploy has occurred.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