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Section Summary — Interpreting Exposure Results</w:t>
      </w:r>
    </w:p>
    <w:p>
      <w:pPr>
        <w:widowControl/>
        <w:spacing w:after="80"/>
      </w:pPr>
      <w:r>
        <w:t>The eleven checkers in this section work together to provide a 360-degree view of a domain's exposure and reputation profile.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from sub-industry rules and payment-form signals on the homepage; accountable institution from FS / Legal Services / Real Estate sub-industry mapping; healthcare sub-detail (medical_scheme / pharmacy / pharma / hospital_clinic) from domain and page-title keywords; GDPR and PCI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is inferred from consumer-facing sub-industry labels plus payment-form signals from the homepage probe.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