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4"/>
          <w:sz w:val="22"/>
        </w:rPr>
        <w:t>PHISHIELD CYBER RISK SCANNER</w:t>
      </w:r>
    </w:p>
    <w:p>
      <w:pPr>
        <w:jc w:val="center"/>
      </w:pPr>
      <w:r>
        <w:rPr>
          <w:b/>
          <w:color w:val="0F2744"/>
          <w:sz w:val="38"/>
        </w:rPr>
        <w:t>FIN-9 Calibration Pre-read</w:t>
      </w:r>
    </w:p>
    <w:p>
      <w:pPr>
        <w:jc w:val="center"/>
      </w:pPr>
      <w:r>
        <w:rPr>
          <w:i/>
          <w:color w:val="64748B"/>
          <w:sz w:val="19"/>
        </w:rPr>
        <w:t>Credential-confidence + the wider parameter set - updated 2026-06-03 (post-fix baseline)</w:t>
      </w:r>
    </w:p>
    <w:p/>
    <w:p>
      <w:r>
        <w:rPr>
          <w:b/>
        </w:rPr>
        <w:t>For:</w:t>
      </w:r>
      <w:r>
        <w:t xml:space="preserve"> FIN-9 calibration session, 2026-06-03 (with colleague — international breach-cost experience) </w:t>
      </w:r>
      <w:r>
        <w:rPr>
          <w:b/>
        </w:rPr>
        <w:t>Status:</w:t>
      </w:r>
      <w:r>
        <w:t xml:space="preserve"> design + calibration knobs laid out; </w:t>
      </w:r>
      <w:r>
        <w:rPr>
          <w:b/>
        </w:rPr>
        <w:t>numbers are placeholders to be set with the colleague against the anchors below.</w:t>
      </w:r>
      <w:r>
        <w:t xml:space="preserve"> Do not ship before the 2-step gate + sanity-check. </w:t>
      </w:r>
      <w:r>
        <w:rPr>
          <w:b/>
        </w:rPr>
        <w:t>Relates to:</w:t>
      </w:r>
      <w:r>
        <w:t xml:space="preserve"> OUTSTANDING </w:t>
      </w:r>
      <w:r>
        <w:rPr>
          <w:rFonts w:ascii="Consolas" w:hAnsi="Consolas"/>
          <w:sz w:val="18"/>
        </w:rPr>
        <w:t>5L</w:t>
      </w:r>
      <w:r>
        <w:t xml:space="preserve"> + </w:t>
      </w:r>
      <w:r>
        <w:rPr>
          <w:b/>
        </w:rPr>
        <w:t>§6b</w:t>
      </w:r>
      <w:r>
        <w:t xml:space="preserve"> (full parameter table), the §6 "Credential-risk scoring calibration" ticket, the FIN-9 Pareto memory, and the cat-tail no-double-count rule.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Current state &amp; session scope (read first — updated 2026-06-03)</w:t>
      </w:r>
    </w:p>
    <w:p>
      <w:r>
        <w:rPr>
          <w:b/>
        </w:rPr>
        <w:t>What changed since this doc was first written:</w:t>
      </w:r>
      <w:r>
        <w:t xml:space="preserve"> the accuracy back-test + six fix waves landed and were verified end-to-end on a fixed-code production scan. The single most important consequence for calibration: </w:t>
      </w:r>
      <w:r>
        <w:rPr>
          <w:b/>
        </w:rPr>
        <w:t>Wave 1 wired `_overall_score` into the financial calculator for the first time</w:t>
      </w:r>
      <w:r>
        <w:t xml:space="preserve"> — </w:t>
      </w:r>
      <w:r>
        <w:rPr>
          <w:rFonts w:ascii="Consolas" w:hAnsi="Consolas"/>
          <w:sz w:val="18"/>
        </w:rPr>
        <w:t>vulnerability</w:t>
      </w:r>
      <w:r>
        <w:t xml:space="preserve"> now </w:t>
      </w:r>
      <w:r>
        <w:rPr>
          <w:i/>
        </w:rPr>
        <w:t>couples to the real posture score</w:t>
      </w:r>
      <w:r>
        <w:t xml:space="preserve"> (it was permanently pinned at 0.5). With the de-inflation fixes (SSL no longer auto-"Invalid", DNSBL no longer auto-"blacklisted", the Exposed-Admin 403 inversion gone, phantom WAF/CVE-ASN removed), scores dropped to their true level — phishield.com now scores </w:t>
      </w:r>
      <w:r>
        <w:rPr>
          <w:b/>
        </w:rPr>
        <w:t>169 (Low)</w:t>
      </w:r>
      <w:r>
        <w:t xml:space="preserve"> vs </w:t>
      </w:r>
      <w:r>
        <w:rPr>
          <w:b/>
        </w:rPr>
        <w:t>381 (Medium)</w:t>
      </w:r>
      <w:r>
        <w:t xml:space="preserve"> pre-fix.</w:t>
      </w:r>
    </w:p>
    <w:p>
      <w:r>
        <w:rPr>
          <w:b/>
        </w:rPr>
        <w:t>So the calibration baseline has shifted.</w:t>
      </w:r>
      <w:r>
        <w:t xml:space="preserve"> Every parameter below must be anchored to the </w:t>
      </w:r>
      <w:r>
        <w:rPr>
          <w:b/>
        </w:rPr>
        <w:t>corrected fixed-code outputs</w:t>
      </w:r>
      <w:r>
        <w:t xml:space="preserve">, NOT the old inflated ones. The downstream constants were never validated against </w:t>
      </w:r>
      <w:r>
        <w:rPr>
          <w:i/>
        </w:rPr>
        <w:t>working</w:t>
      </w:r>
      <w:r>
        <w:t xml:space="preserve"> coupling (the coupling was broken), so they genuinely need calibration now.</w:t>
      </w:r>
    </w:p>
    <w:p>
      <w:r>
        <w:rPr>
          <w:b/>
        </w:rPr>
        <w:t>This session's parameters span five groups</w:t>
      </w:r>
      <w:r>
        <w:t xml:space="preserve"> (this doc details the credential one; the full table is OUTSTANDING §6b):</w:t>
      </w:r>
    </w:p>
    <w:p>
      <w:pPr>
        <w:pStyle w:val="ListBullet"/>
      </w:pPr>
      <w:r>
        <w:rPr>
          <w:b/>
        </w:rPr>
        <w:t>p(breach) core</w:t>
      </w:r>
      <w:r>
        <w:t xml:space="preserve"> — the </w:t>
      </w:r>
      <w:r>
        <w:rPr>
          <w:rFonts w:ascii="Consolas" w:hAnsi="Consolas"/>
          <w:sz w:val="18"/>
        </w:rPr>
        <w:t>vulnerability ← _overall_score</w:t>
      </w:r>
      <w:r>
        <w:t xml:space="preserve"> curve + the </w:t>
      </w:r>
      <w:r>
        <w:rPr>
          <w:rFonts w:ascii="Consolas" w:hAnsi="Consolas"/>
          <w:sz w:val="18"/>
        </w:rPr>
        <w:t>0.3</w:t>
      </w:r>
      <w:r>
        <w:t xml:space="preserve"> in </w:t>
      </w:r>
      <w:r>
        <w:rPr>
          <w:rFonts w:ascii="Consolas" w:hAnsi="Consolas"/>
          <w:sz w:val="18"/>
        </w:rPr>
        <w:t>p_breach = vulnerability × TEF × 0.3</w:t>
      </w:r>
      <w:r>
        <w:t>.</w:t>
      </w:r>
    </w:p>
    <w:p>
      <w:pPr>
        <w:pStyle w:val="ListBullet"/>
      </w:pPr>
      <w:r>
        <w:rPr>
          <w:b/>
        </w:rPr>
        <w:t>Credential → p(breach) / RSI</w:t>
      </w:r>
      <w:r>
        <w:t xml:space="preserve"> — </w:t>
      </w:r>
      <w:r>
        <w:rPr>
          <w:b/>
        </w:rPr>
        <w:t>the focus of this doc</w:t>
      </w:r>
      <w:r>
        <w:t xml:space="preserve"> (§1–§9 below).</w:t>
      </w:r>
    </w:p>
    <w:p>
      <w:pPr>
        <w:pStyle w:val="ListBullet"/>
      </w:pPr>
      <w:r>
        <w:rPr>
          <w:b/>
        </w:rPr>
        <w:t>RSI factor weights</w:t>
      </w:r>
      <w:r>
        <w:t xml:space="preserve"> — the ransomware-vector sizes (+0.25 RDP, etc.).</w:t>
      </w:r>
    </w:p>
    <w:p>
      <w:pPr>
        <w:pStyle w:val="ListBullet"/>
      </w:pPr>
      <w:r>
        <w:rPr>
          <w:b/>
        </w:rPr>
        <w:t>SA cost/fine + TEF</w:t>
      </w:r>
      <w:r>
        <w:t xml:space="preserve"> — </w:t>
      </w:r>
      <w:r>
        <w:rPr>
          <w:rFonts w:ascii="Consolas" w:hAnsi="Consolas"/>
          <w:sz w:val="18"/>
        </w:rPr>
        <w:t>COST_PER_RECORD</w:t>
      </w:r>
      <w:r>
        <w:t xml:space="preserve">, </w:t>
      </w:r>
      <w:r>
        <w:rPr>
          <w:rFonts w:ascii="Consolas" w:hAnsi="Consolas"/>
          <w:sz w:val="18"/>
        </w:rPr>
        <w:t>REGULATORY_FINE</w:t>
      </w:r>
      <w:r>
        <w:t xml:space="preserve"> (POPIA s109 / Information Regulator reality), industry targeting.</w:t>
      </w:r>
    </w:p>
    <w:p>
      <w:pPr>
        <w:pStyle w:val="ListBullet"/>
      </w:pPr>
      <w:r>
        <w:rPr>
          <w:b/>
        </w:rPr>
        <w:t>Catastrophe tail / Pareto (FIN-9 core)</w:t>
      </w:r>
      <w:r>
        <w:t xml:space="preserve"> — </w:t>
      </w:r>
      <w:r>
        <w:rPr>
          <w:rFonts w:ascii="Consolas" w:hAnsi="Consolas"/>
          <w:sz w:val="18"/>
        </w:rPr>
        <w:t>K_TAIL</w:t>
      </w:r>
      <w:r>
        <w:t xml:space="preserve">, the Pareto alpha + LGB mixture — </w:t>
      </w:r>
      <w:r>
        <w:rPr>
          <w:b/>
        </w:rPr>
        <w:t>your domain; flagged as needs-your-judgement.</w:t>
      </w:r>
    </w:p>
    <w:p>
      <w:r>
        <w:rPr>
          <w:b/>
        </w:rPr>
        <w:t>Prep provided:</w:t>
      </w:r>
      <w:r>
        <w:t xml:space="preserve"> a sandbox, research-grounded </w:t>
      </w:r>
      <w:r>
        <w:rPr>
          <w:b/>
        </w:rPr>
        <w:t>best-attempt comparison doc</w:t>
      </w:r>
      <w:r>
        <w:t xml:space="preserve"> is being prepared (</w:t>
      </w:r>
      <w:r>
        <w:rPr>
          <w:rFonts w:ascii="Consolas" w:hAnsi="Consolas"/>
          <w:sz w:val="18"/>
        </w:rPr>
        <w:t>docs/calibration_prep/</w:t>
      </w:r>
      <w:r>
        <w:t xml:space="preserve"> → a consolidated comparison) — for each parameter: current value, a proposed value/range anchored to SA + international breach data (sources cited), a validation-by-recompute result, a confidence rating, and the specific open question. </w:t>
      </w:r>
      <w:r>
        <w:rPr>
          <w:b/>
        </w:rPr>
        <w:t>These are PREP PROPOSALS, not final</w:t>
      </w:r>
      <w:r>
        <w:t xml:space="preserve"> — a starting point so the session refines rather than starts cold. Final values are set with the colleague and pass the 2-step gate before anything ships.</w:t>
      </w:r>
    </w:p>
    <w:p>
      <w:pPr>
        <w:spacing w:before="280" w:after="80"/>
      </w:pPr>
      <w:r>
        <w:rPr>
          <w:b/>
          <w:color w:val="0F2744"/>
          <w:sz w:val="28"/>
        </w:rPr>
        <w:t>1. One-paragraph problem statement</w:t>
      </w:r>
    </w:p>
    <w:p>
      <w:r>
        <w:t xml:space="preserve">The financial model's credential input to the </w:t>
      </w:r>
      <w:r>
        <w:rPr>
          <w:b/>
        </w:rPr>
        <w:t>probability of breach</w:t>
      </w:r>
      <w:r>
        <w:t xml:space="preserve"> is a raw count — </w:t>
      </w:r>
      <w:r>
        <w:rPr>
          <w:rFonts w:ascii="Consolas" w:hAnsi="Consolas"/>
          <w:sz w:val="18"/>
        </w:rPr>
        <w:t>dehashed_risk = min(100, total_entries × 2)</w:t>
      </w:r>
      <w:r>
        <w:t xml:space="preserve"> (weight </w:t>
      </w:r>
      <w:r>
        <w:rPr>
          <w:rFonts w:ascii="Consolas" w:hAnsi="Consolas"/>
          <w:sz w:val="18"/>
        </w:rPr>
        <w:t>0.03</w:t>
      </w:r>
      <w:r>
        <w:t xml:space="preserve">) — which flows into the overall posture score → </w:t>
      </w:r>
      <w:r>
        <w:rPr>
          <w:rFonts w:ascii="Consolas" w:hAnsi="Consolas"/>
          <w:sz w:val="18"/>
        </w:rPr>
        <w:t>vulnerability</w:t>
      </w:r>
      <w:r>
        <w:t xml:space="preserve"> → </w:t>
      </w:r>
      <w:r>
        <w:rPr>
          <w:rFonts w:ascii="Consolas" w:hAnsi="Consolas"/>
          <w:sz w:val="18"/>
        </w:rPr>
        <w:t>p_breach = vulnerability × TEF × 0.3</w:t>
      </w:r>
      <w:r>
        <w:t xml:space="preserve">. It is blind to </w:t>
      </w:r>
      <w:r>
        <w:rPr>
          <w:b/>
        </w:rPr>
        <w:t>confidence</w:t>
      </w:r>
      <w:r>
        <w:t xml:space="preserve"> (was a credential actually captured, or is this just a browser-History visit?), </w:t>
      </w:r>
      <w:r>
        <w:rPr>
          <w:b/>
        </w:rPr>
        <w:t>recency</w:t>
      </w:r>
      <w:r>
        <w:t xml:space="preserve"> (fresh infostealer vs a 6-year-old combo list), and </w:t>
      </w:r>
      <w:r>
        <w:rPr>
          <w:b/>
        </w:rPr>
        <w:t>password-presence</w:t>
      </w:r>
      <w:r>
        <w:t xml:space="preserve">. So today </w:t>
      </w:r>
      <w:r>
        <w:rPr>
          <w:b/>
        </w:rPr>
        <w:t>13 stale, low-confidence, email-only appearances move p(breach) exactly as hard as 13 freshly-stolen passwords.</w:t>
      </w:r>
      <w:r>
        <w:t xml:space="preserve"> The catastrophe model (severity / loss given breach) is fine — this is purely about the </w:t>
      </w:r>
      <w:r>
        <w:rPr>
          <w:i/>
        </w:rPr>
        <w:t>probability</w:t>
      </w:r>
      <w:r>
        <w:t xml:space="preserve"> input.</w:t>
      </w:r>
    </w:p>
    <w:p>
      <w:pPr>
        <w:spacing w:before="280" w:after="80"/>
      </w:pPr>
      <w:r>
        <w:rPr>
          <w:b/>
          <w:color w:val="0F2744"/>
          <w:sz w:val="28"/>
        </w:rPr>
        <w:t>2. The precedent being matched (this is not a new mechanism)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Credential input today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Confidence-aware?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RSI</w:t>
            </w:r>
            <w:r>
              <w:rPr>
                <w:sz w:val="19"/>
              </w:rPr>
              <w:t xml:space="preserve"> (ransomware susceptibility)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credential_risk.risk_level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+0.20 / +0.15 / +0.08 / 0</w:t>
            </w:r>
            <w:r>
              <w:rPr>
                <w:sz w:val="19"/>
              </w:rPr>
              <w:t xml:space="preserve"> for CRIT/HIGH/MED/LOW, </w:t>
            </w:r>
            <w:r>
              <w:rPr>
                <w:b/>
                <w:sz w:val="19"/>
              </w:rPr>
              <w:t>replacing</w:t>
            </w:r>
            <w:r>
              <w:rPr>
                <w:sz w:val="19"/>
              </w:rPr>
              <w:t xml:space="preserve"> raw counts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p(breach)</w:t>
            </w:r>
            <w:r>
              <w:rPr>
                <w:sz w:val="19"/>
              </w:rPr>
              <w:t xml:space="preserve"> (financial model)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raw </w:t>
            </w:r>
            <w:r>
              <w:rPr>
                <w:rFonts w:ascii="Consolas" w:hAnsi="Consolas"/>
                <w:sz w:val="19"/>
              </w:rPr>
              <w:t>dehashed_total × 2</w:t>
            </w:r>
            <w:r>
              <w:rPr>
                <w:sz w:val="19"/>
              </w:rPr>
              <w:t xml:space="preserve"> → vulnerability → p_breach; plus HIBP </w:t>
            </w:r>
            <w:r>
              <w:rPr>
                <w:rFonts w:ascii="Consolas" w:hAnsi="Consolas"/>
                <w:sz w:val="19"/>
              </w:rPr>
              <w:t>breach_count</w:t>
            </w:r>
            <w:r>
              <w:rPr>
                <w:sz w:val="19"/>
              </w:rPr>
              <w:t xml:space="preserve"> → a separate scenario p_breach (L1664)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Export</w:t>
            </w:r>
            <w:r>
              <w:rPr>
                <w:sz w:val="19"/>
              </w:rPr>
              <w:t xml:space="preserve"> (on-demand CSV)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full </w:t>
            </w:r>
            <w:r>
              <w:rPr>
                <w:rFonts w:ascii="Consolas" w:hAnsi="Consolas"/>
                <w:sz w:val="19"/>
              </w:rPr>
              <w:t>match_type → confidence</w:t>
            </w:r>
            <w:r>
              <w:rPr>
                <w:sz w:val="19"/>
              </w:rPr>
              <w:t xml:space="preserve"> model (</w:t>
            </w:r>
            <w:r>
              <w:rPr>
                <w:rFonts w:ascii="Consolas" w:hAnsi="Consolas"/>
                <w:sz w:val="19"/>
              </w:rPr>
              <w:t>credential_export.py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Yes, but </w:t>
            </w:r>
            <w:r>
              <w:rPr>
                <w:b/>
                <w:sz w:val="19"/>
              </w:rPr>
              <w:t>downstream / reporting-only</w:t>
            </w:r>
          </w:p>
        </w:tc>
      </w:tr>
    </w:tbl>
    <w:p/>
    <w:p>
      <w:r>
        <w:rPr>
          <w:b/>
        </w:rPr>
        <w:t>The design = give p(breach) the same confidence-aware credential input RSI already has</w:t>
      </w:r>
      <w:r>
        <w:t xml:space="preserve">, enriched with the new </w:t>
      </w:r>
      <w:r>
        <w:rPr>
          <w:rFonts w:ascii="Consolas" w:hAnsi="Consolas"/>
          <w:sz w:val="18"/>
        </w:rPr>
        <w:t>match_type</w:t>
      </w:r>
      <w:r>
        <w:t xml:space="preserve"> + recency signals, and </w:t>
      </w:r>
      <w:r>
        <w:rPr>
          <w:b/>
        </w:rPr>
        <w:t>replace</w:t>
      </w:r>
      <w:r>
        <w:t xml:space="preserve"> the raw count (do not add — see §6).</w:t>
      </w:r>
    </w:p>
    <w:p>
      <w:pPr>
        <w:spacing w:before="280" w:after="80"/>
      </w:pPr>
      <w:r>
        <w:rPr>
          <w:b/>
          <w:color w:val="0F2744"/>
          <w:sz w:val="28"/>
        </w:rPr>
        <w:t>3. Proposed model</w:t>
      </w:r>
    </w:p>
    <w:p>
      <w:pPr>
        <w:spacing w:before="200" w:after="40"/>
      </w:pPr>
      <w:r>
        <w:rPr>
          <w:b/>
          <w:color w:val="0F2744"/>
          <w:sz w:val="22"/>
        </w:rPr>
        <w:t>3.1 Classify at scan time — no PII in the scored path</w:t>
      </w:r>
    </w:p>
    <w:p>
      <w:r>
        <w:t xml:space="preserve">For every credential signal, derive </w:t>
      </w:r>
      <w:r>
        <w:rPr>
          <w:rFonts w:ascii="Consolas" w:hAnsi="Consolas"/>
          <w:sz w:val="18"/>
        </w:rPr>
        <w:t>(has_password: Y/N, match_type, recency_band)</w:t>
      </w:r>
      <w:r>
        <w:t xml:space="preserve">. </w:t>
      </w:r>
      <w:r>
        <w:rPr>
          <w:b/>
        </w:rPr>
        <w:t>The plaintext password is never needed for scoring</w:t>
      </w:r>
      <w:r>
        <w:t xml:space="preserve"> — only the boolean + metadata. Passwords stay in the consented encrypted export. (POPIA-clean by construction.)</w:t>
      </w:r>
    </w:p>
    <w:p>
      <w:r>
        <w:rPr>
          <w:rFonts w:ascii="Consolas" w:hAnsi="Consolas"/>
          <w:sz w:val="18"/>
        </w:rPr>
        <w:t>match_type → confidence</w:t>
      </w:r>
      <w:r>
        <w:t xml:space="preserve"> (already implemented in the export; reuse verbatim):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match_type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plaintext_password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password_store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autofill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credit_cards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 secret was actually captured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medium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hashed_password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cookies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hash (crackable) or live session token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low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email_only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browser_history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aggregated_domain_index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exposure/visit only — no credential in hand</w:t>
            </w:r>
          </w:p>
        </w:tc>
      </w:tr>
    </w:tbl>
    <w:p/>
    <w:p>
      <w:pPr>
        <w:spacing w:before="200" w:after="40"/>
      </w:pPr>
      <w:r>
        <w:rPr>
          <w:b/>
          <w:color w:val="0F2744"/>
          <w:sz w:val="22"/>
        </w:rPr>
        <w:t>3.2 Collapse to a confidence-weighted credential class (None → Critical)</w:t>
      </w:r>
    </w:p>
    <w:p>
      <w:r>
        <w:t xml:space="preserve">Weight each record by confidence × recency-decay, sum, and threshold into a class — analogous to </w:t>
      </w:r>
      <w:r>
        <w:rPr>
          <w:rFonts w:ascii="Consolas" w:hAnsi="Consolas"/>
          <w:sz w:val="18"/>
        </w:rPr>
        <w:t>credential_risk</w:t>
      </w:r>
      <w:r>
        <w:t xml:space="preserve"> but incorporating match_type + recency. The class then feeds p(breach) the same graduated way RSI is fed.</w:t>
      </w:r>
    </w:p>
    <w:p>
      <w:pPr>
        <w:spacing w:before="200" w:after="40"/>
      </w:pPr>
      <w:r>
        <w:rPr>
          <w:b/>
          <w:color w:val="0F2744"/>
          <w:sz w:val="22"/>
        </w:rPr>
        <w:t>3.3 Wire into p(breach), replacing the raw count</w:t>
      </w:r>
    </w:p>
    <w:p>
      <w:r>
        <w:t xml:space="preserve">Replace the </w:t>
      </w:r>
      <w:r>
        <w:rPr>
          <w:rFonts w:ascii="Consolas" w:hAnsi="Consolas"/>
          <w:sz w:val="18"/>
        </w:rPr>
        <w:t>dehashed_total × 2</w:t>
      </w:r>
      <w:r>
        <w:t xml:space="preserve"> term with a </w:t>
      </w:r>
      <w:r>
        <w:rPr>
          <w:rFonts w:ascii="Consolas" w:hAnsi="Consolas"/>
          <w:sz w:val="18"/>
        </w:rPr>
        <w:t>credential_confidence_contribution</w:t>
      </w:r>
      <w:r>
        <w:t xml:space="preserve"> (class → contribution). Keep it as an </w:t>
      </w:r>
      <w:r>
        <w:rPr>
          <w:b/>
        </w:rPr>
        <w:t>observed-risk probability uplift (pre-MC)</w:t>
      </w:r>
      <w:r>
        <w:t>, consistent with the cat-tail design (observed → p uplift; unobserved → K_TAIL).</w:t>
      </w:r>
    </w:p>
    <w:p>
      <w:pPr>
        <w:spacing w:before="280" w:after="80"/>
      </w:pPr>
      <w:r>
        <w:rPr>
          <w:b/>
          <w:color w:val="0F2744"/>
          <w:sz w:val="28"/>
        </w:rPr>
        <w:t>4. Calibration knobs — the table to fill tomorrow</w:t>
      </w:r>
    </w:p>
    <w:p>
      <w:r>
        <w:rPr>
          <w:i/>
        </w:rPr>
        <w:t>Placeholders only at this stage; each value is set against the anchors in §5. Calibration is deterministic — anchor-driven, not intuited.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Knob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 that should set it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K1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Confidence multipliers (high / med / low)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1.0 / 0.4 / 0.1</w:t>
            </w:r>
            <w:r>
              <w:rPr>
                <w:sz w:val="19"/>
              </w:rPr>
              <w:t xml:space="preserve"> 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Ratio of breach likelihood given a </w:t>
            </w:r>
            <w:r>
              <w:rPr>
                <w:i/>
                <w:sz w:val="19"/>
              </w:rPr>
              <w:t>captured credential</w:t>
            </w:r>
            <w:r>
              <w:rPr>
                <w:sz w:val="19"/>
              </w:rPr>
              <w:t xml:space="preserve"> vs a </w:t>
            </w:r>
            <w:r>
              <w:rPr>
                <w:i/>
                <w:sz w:val="19"/>
              </w:rPr>
              <w:t>mere exposure</w:t>
            </w:r>
            <w:r>
              <w:rPr>
                <w:sz w:val="19"/>
              </w:rPr>
              <w:t xml:space="preserve"> (DBIR/Mandiant initial-access shares)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K2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Recency decay (per band, &lt;30d … &gt;2yr)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full → 0.?? at &gt;2yr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Infostealer freshness vs combo-list reuse; how fast stolen-cred value decays (IBM CoDB dwell + reuse data)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K3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Combo-list discount (re-circulated)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×0.??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COMBO_LIST_SOURCES are re-packaged historical data — should not read as fresh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K4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Class thresholds (None/Low/Med/High/Crit cutoffs on the weighted sum)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TBD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Align top class with "active compromise" (Sophos SA 2025: creds #1 root cause, 34%)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K5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Class → p(breach) contribution (analogue of RSI's +0.20/+0.15/+0.08)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TBD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Calibrate so a CRITICAL credential class yields a defensible absolute p(breach), cross-checked vs DBIR/IBM base rates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K6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Contribution cap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TBD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Prevent a single channel dominating p(breach); keep within the vulnerability budget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K7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Low-confidence floor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sz w:val="19"/>
              </w:rPr>
              <w:t xml:space="preserve"> or small ε?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Decision:</w:t>
            </w:r>
            <w:r>
              <w:rPr>
                <w:sz w:val="19"/>
              </w:rPr>
              <w:t xml:space="preserve"> does fresh-but-low-confidence (e.g. a History visit) contribute </w:t>
            </w:r>
            <w:r>
              <w:rPr>
                <w:i/>
                <w:sz w:val="19"/>
              </w:rPr>
              <w:t>nothing</w:t>
            </w:r>
            <w:r>
              <w:rPr>
                <w:sz w:val="19"/>
              </w:rPr>
              <w:t xml:space="preserve"> to p(breach), or a small monitoring floor?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5. Empirical anchors to calibrate against</w:t>
      </w:r>
    </w:p>
    <w:p>
      <w:pPr>
        <w:pStyle w:val="ListBullet"/>
      </w:pPr>
      <w:r>
        <w:rPr>
          <w:b/>
        </w:rPr>
        <w:t>Verizon DBIR 2025</w:t>
      </w:r>
      <w:r>
        <w:t xml:space="preserve"> — stolen-credential involvement in breaches; use-of-stolen-creds initial-access share. Sets K1, K5 base rates.</w:t>
      </w:r>
    </w:p>
    <w:p>
      <w:pPr>
        <w:pStyle w:val="ListBullet"/>
      </w:pPr>
      <w:r>
        <w:rPr>
          <w:b/>
        </w:rPr>
        <w:t>Mandiant M-Trends 2025</w:t>
      </w:r>
      <w:r>
        <w:t xml:space="preserve"> — stolen credentials = </w:t>
      </w:r>
      <w:r>
        <w:rPr>
          <w:b/>
        </w:rPr>
        <w:t>#2 initial-access vector (16%)</w:t>
      </w:r>
      <w:r>
        <w:t>, exploits #1 (33%). Sets the relative weight of credentials vs other vectors, so the model does not over-rotate p(breach) onto credentials.</w:t>
      </w:r>
    </w:p>
    <w:p>
      <w:pPr>
        <w:pStyle w:val="ListBullet"/>
      </w:pPr>
      <w:r>
        <w:rPr>
          <w:b/>
        </w:rPr>
        <w:t>IBM Cost of a Data Breach 2024</w:t>
      </w:r>
      <w:r>
        <w:t xml:space="preserve"> — credential-based breach frequency + dwell time; informs K2 recency decay.</w:t>
      </w:r>
    </w:p>
    <w:p>
      <w:pPr>
        <w:pStyle w:val="ListBullet"/>
      </w:pPr>
      <w:r>
        <w:rPr>
          <w:b/>
        </w:rPr>
        <w:t>Sophos SA 2025</w:t>
      </w:r>
      <w:r>
        <w:t xml:space="preserve"> — credentials = </w:t>
      </w:r>
      <w:r>
        <w:rPr>
          <w:b/>
        </w:rPr>
        <w:t>#1 root cause (34%)</w:t>
      </w:r>
      <w:r>
        <w:t xml:space="preserve"> (already cited in the RSI code). Local anchor for K4/K5 top class.</w:t>
      </w:r>
    </w:p>
    <w:p>
      <w:pPr>
        <w:pStyle w:val="ListBullet"/>
      </w:pPr>
      <w:r>
        <w:rPr>
          <w:b/>
        </w:rPr>
        <w:t>Infostealer vs combo-list reuse</w:t>
      </w:r>
      <w:r>
        <w:t xml:space="preserve"> (HudsonRock / SpyCloud reporting) — how much fresh infostealer captures out-rank recycled combo lists. Sets K2/K3.</w:t>
      </w:r>
    </w:p>
    <w:p>
      <w:pPr>
        <w:pStyle w:val="ListBullet"/>
      </w:pPr>
      <w:r>
        <w:rPr>
          <w:b/>
        </w:rPr>
        <w:t>Cross-check:</w:t>
      </w:r>
      <w:r>
        <w:t xml:space="preserve"> the resulting absolute p(breach) for a "CRITICAL credential" org must sit sensibly vs the industry base rate already encoded in TEF — not double the whole-industry frequency off one signal.</w:t>
      </w:r>
    </w:p>
    <w:p>
      <w:pPr>
        <w:spacing w:before="280" w:after="80"/>
      </w:pPr>
      <w:r>
        <w:rPr>
          <w:b/>
          <w:color w:val="0F2744"/>
          <w:sz w:val="28"/>
        </w:rPr>
        <w:t>6. No-double-count discipline (hard rule)</w:t>
      </w:r>
    </w:p>
    <w:p>
      <w:pPr>
        <w:pStyle w:val="ListBullet"/>
      </w:pPr>
      <w:r>
        <w:rPr>
          <w:b/>
        </w:rPr>
        <w:t>Replace</w:t>
      </w:r>
      <w:r>
        <w:t xml:space="preserve"> </w:t>
      </w:r>
      <w:r>
        <w:rPr>
          <w:rFonts w:ascii="Consolas" w:hAnsi="Consolas"/>
          <w:sz w:val="18"/>
        </w:rPr>
        <w:t>dehashed_total × 2</w:t>
      </w:r>
      <w:r>
        <w:t>, do not stack on top of it.</w:t>
      </w:r>
    </w:p>
    <w:p>
      <w:pPr>
        <w:pStyle w:val="ListBullet"/>
      </w:pPr>
      <w:r>
        <w:t xml:space="preserve">The HIBP </w:t>
      </w:r>
      <w:r>
        <w:rPr>
          <w:rFonts w:ascii="Consolas" w:hAnsi="Consolas"/>
          <w:sz w:val="18"/>
        </w:rPr>
        <w:t>breach_count</w:t>
      </w:r>
      <w:r>
        <w:t xml:space="preserve"> scenario path (L1664) overlaps — decide whether it folds into the new class or stays separate (open question Q3).</w:t>
      </w:r>
    </w:p>
    <w:p>
      <w:pPr>
        <w:pStyle w:val="ListBullet"/>
      </w:pPr>
      <w:r>
        <w:rPr>
          <w:rFonts w:ascii="Consolas" w:hAnsi="Consolas"/>
          <w:sz w:val="18"/>
        </w:rPr>
        <w:t>credential_correlation</w:t>
      </w:r>
      <w:r>
        <w:t xml:space="preserve"> stays </w:t>
      </w:r>
      <w:r>
        <w:rPr>
          <w:b/>
        </w:rPr>
        <w:t>reporting-only</w:t>
      </w:r>
      <w:r>
        <w:t xml:space="preserve">; what is promoted into the score is a </w:t>
      </w:r>
      <w:r>
        <w:rPr>
          <w:i/>
        </w:rPr>
        <w:t>confidence-weighted credential class</w:t>
      </w:r>
      <w:r>
        <w:t>, not the correlation card.</w:t>
      </w:r>
    </w:p>
    <w:p>
      <w:pPr>
        <w:pStyle w:val="ListBullet"/>
      </w:pPr>
      <w:r>
        <w:t>Consistent with the cat-tail rule: observed risk → probability uplift (pre-MC); unobserved → K_TAIL (untouched here).</w:t>
      </w:r>
    </w:p>
    <w:p>
      <w:pPr>
        <w:spacing w:before="280" w:after="80"/>
      </w:pPr>
      <w:r>
        <w:rPr>
          <w:b/>
          <w:color w:val="0F2744"/>
          <w:sz w:val="28"/>
        </w:rPr>
        <w:t>7. Verification plan (after calibration)</w:t>
      </w:r>
    </w:p>
    <w:p>
      <w:pPr>
        <w:pStyle w:val="ListBullet"/>
      </w:pPr>
      <w:r>
        <w:rPr>
          <w:rFonts w:ascii="Consolas" w:hAnsi="Consolas"/>
          <w:sz w:val="18"/>
        </w:rPr>
        <w:t>py tooling/verify_supply_chain_financial_wiring.py</w:t>
      </w:r>
      <w:r>
        <w:t xml:space="preserve"> (expect 31/31).</w:t>
      </w:r>
    </w:p>
    <w:p>
      <w:pPr>
        <w:pStyle w:val="ListBullet"/>
      </w:pPr>
      <w:r>
        <w:rPr>
          <w:rFonts w:ascii="Consolas" w:hAnsi="Consolas"/>
          <w:sz w:val="18"/>
        </w:rPr>
        <w:t>py tooling/verify_scan_smoke.py</w:t>
      </w:r>
      <w:r>
        <w:t xml:space="preserve"> (exit 0 — this is a scan-path/scoring change).</w:t>
      </w:r>
    </w:p>
    <w:p>
      <w:pPr>
        <w:pStyle w:val="ListBullet"/>
      </w:pPr>
      <w:r>
        <w:t xml:space="preserve">Present </w:t>
      </w:r>
      <w:r>
        <w:rPr>
          <w:b/>
        </w:rPr>
        <w:t>per-checker p(breach) deltas</w:t>
      </w:r>
      <w:r>
        <w:t xml:space="preserve"> for phishield + a high-confidence reference target, and run the AskUserQuestion sanity-check against the §5 anchors. Iterate K1-K7 until calibrated.</w:t>
      </w:r>
    </w:p>
    <w:p>
      <w:pPr>
        <w:pStyle w:val="ListBullet"/>
      </w:pPr>
      <w:r>
        <w:t>Only then commit + push (both remotes) → Render.</w:t>
      </w:r>
    </w:p>
    <w:p>
      <w:pPr>
        <w:spacing w:before="280" w:after="80"/>
      </w:pPr>
      <w:r>
        <w:rPr>
          <w:b/>
          <w:color w:val="0F2744"/>
          <w:sz w:val="28"/>
        </w:rPr>
        <w:t>8. Open questions for the session</w:t>
      </w:r>
    </w:p>
    <w:p>
      <w:pPr>
        <w:pStyle w:val="ListBullet"/>
      </w:pPr>
      <w:r>
        <w:rPr>
          <w:b/>
        </w:rPr>
        <w:t>Q1</w:t>
      </w:r>
      <w:r>
        <w:t xml:space="preserve"> — Refine the existing </w:t>
      </w:r>
      <w:r>
        <w:rPr>
          <w:rFonts w:ascii="Consolas" w:hAnsi="Consolas"/>
          <w:sz w:val="18"/>
        </w:rPr>
        <w:t>CredentialRiskClassifier</w:t>
      </w:r>
      <w:r>
        <w:t xml:space="preserve"> in place (superseding the §6 ticket: cap IntelX per-mention, date-gate HR CRITICAL) and feed its richer output to </w:t>
      </w:r>
      <w:r>
        <w:rPr>
          <w:i/>
        </w:rPr>
        <w:t>both</w:t>
      </w:r>
      <w:r>
        <w:t xml:space="preserve"> RSI and p(breach)? Or add a parallel </w:t>
      </w:r>
      <w:r>
        <w:rPr>
          <w:rFonts w:ascii="Consolas" w:hAnsi="Consolas"/>
          <w:sz w:val="18"/>
        </w:rPr>
        <w:t>credential_confidence</w:t>
      </w:r>
      <w:r>
        <w:t xml:space="preserve"> layer and leave the classifier alone?</w:t>
      </w:r>
    </w:p>
    <w:p>
      <w:pPr>
        <w:pStyle w:val="ListBullet"/>
      </w:pPr>
      <w:r>
        <w:rPr>
          <w:b/>
        </w:rPr>
        <w:t>Q2</w:t>
      </w:r>
      <w:r>
        <w:t xml:space="preserve"> — Low-confidence freshness (K7): zero contribution, or a small monitoring floor that only lifts on content-fetch confirmation?</w:t>
      </w:r>
    </w:p>
    <w:p>
      <w:pPr>
        <w:pStyle w:val="ListBullet"/>
      </w:pPr>
      <w:r>
        <w:rPr>
          <w:b/>
        </w:rPr>
        <w:t>Q3</w:t>
      </w:r>
      <w:r>
        <w:t xml:space="preserve"> — Does the HIBP </w:t>
      </w:r>
      <w:r>
        <w:rPr>
          <w:rFonts w:ascii="Consolas" w:hAnsi="Consolas"/>
          <w:sz w:val="18"/>
        </w:rPr>
        <w:t>breach_count</w:t>
      </w:r>
      <w:r>
        <w:t xml:space="preserve"> scenario p(breach) (L1664) fold into the new class, or remain a separate scenario?</w:t>
      </w:r>
    </w:p>
    <w:p>
      <w:pPr>
        <w:pStyle w:val="ListBullet"/>
      </w:pPr>
      <w:r>
        <w:rPr>
          <w:b/>
        </w:rPr>
        <w:t>Q4</w:t>
      </w:r>
      <w:r>
        <w:t xml:space="preserve"> — Content-fetch-unconfirmed dumps default to </w:t>
      </w:r>
      <w:r>
        <w:rPr>
          <w:b/>
        </w:rPr>
        <w:t>low</w:t>
      </w:r>
      <w:r>
        <w:t xml:space="preserve"> until confirmed — agreed? (Interim control already documented in Manual §6.4.)</w:t>
      </w:r>
    </w:p>
    <w:p>
      <w:pPr>
        <w:spacing w:before="280" w:after="80"/>
      </w:pPr>
      <w:r>
        <w:rPr>
          <w:b/>
          <w:color w:val="0F2744"/>
          <w:sz w:val="28"/>
        </w:rPr>
        <w:t>9. Decisions already made — do not relitigate</w:t>
      </w:r>
    </w:p>
    <w:p>
      <w:pPr>
        <w:pStyle w:val="ListBullet"/>
      </w:pPr>
      <w:r>
        <w:rPr>
          <w:b/>
        </w:rPr>
        <w:t>POPIA:</w:t>
      </w:r>
      <w:r>
        <w:t xml:space="preserve"> scored/rendered path sees only </w:t>
      </w:r>
      <w:r>
        <w:rPr>
          <w:rFonts w:ascii="Consolas" w:hAnsi="Consolas"/>
          <w:sz w:val="18"/>
        </w:rPr>
        <w:t>has_password (Y/N)</w:t>
      </w:r>
      <w:r>
        <w:t xml:space="preserve"> + class; real passwords live only in the consented encrypted export.</w:t>
      </w:r>
    </w:p>
    <w:p>
      <w:pPr>
        <w:pStyle w:val="ListBullet"/>
      </w:pPr>
      <w:r>
        <w:rPr>
          <w:b/>
        </w:rPr>
        <w:t>Cat model unaffected</w:t>
      </w:r>
      <w:r>
        <w:t xml:space="preserve"> — this changes the </w:t>
      </w:r>
      <w:r>
        <w:rPr>
          <w:i/>
        </w:rPr>
        <w:t>probability</w:t>
      </w:r>
      <w:r>
        <w:t xml:space="preserve"> input only.</w:t>
      </w:r>
    </w:p>
    <w:p>
      <w:pPr>
        <w:pStyle w:val="ListBullet"/>
      </w:pPr>
      <w:r>
        <w:rPr>
          <w:b/>
        </w:rPr>
        <w:t>match_type → confidence tiers</w:t>
      </w:r>
      <w:r>
        <w:t xml:space="preserve"> as defined in §3.1 (already shipped in the export).</w:t>
      </w:r>
    </w:p>
    <w:p>
      <w:pPr>
        <w:pStyle w:val="ListBullet"/>
      </w:pPr>
      <w:r>
        <w:t xml:space="preserve">This is a </w:t>
      </w:r>
      <w:r>
        <w:rPr>
          <w:b/>
        </w:rPr>
        <w:t>scoring change → calibration-gated</w:t>
      </w:r>
      <w:r>
        <w:t>: no shipping on intuited factors; numbers come from §5 anchors + the sanity-check.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