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2026-06-11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 </w:t>
            </w:r>
            <w:r>
              <w:rPr>
                <w:b/>
                <w:sz w:val="19"/>
              </w:rPr>
              <w:t>Now also load-bearing for the encrypted-export enrichment (5j/5k):</w:t>
            </w:r>
            <w:r>
              <w:rPr>
                <w:sz w:val="19"/>
              </w:rPr>
              <w:t xml:space="preserve"> the export pulls recency dates + IntelX leak-refs from the domain's last scan, but Render's free-tier disk is </w:t>
            </w:r>
            <w:r>
              <w:rPr>
                <w:b/>
                <w:sz w:val="19"/>
              </w:rPr>
              <w:t>ephemeral and wipes `scans.db` on every deploy</w:t>
            </w:r>
            <w:r>
              <w:rPr>
                <w:sz w:val="19"/>
              </w:rPr>
              <w:t xml:space="preserve"> — so a scan→deploy→export sequence silently drops the dates/leak-refs (export still returns credentials, just un-clustered). Persistent DB removes this. Interim: re-scan before exporting if a deploy has occurred.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Enable API auth (`SCANNER_API_KEY`)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Code shipped 2026-06-11, env var NOT yet set (auth is opt-in / off)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 + frontend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rFonts w:ascii="Consolas" w:hAnsi="Consolas"/>
                <w:sz w:val="19"/>
              </w:rPr>
              <w:t>SCANNER_API_KEY</w:t>
            </w:r>
            <w:r>
              <w:rPr>
                <w:sz w:val="19"/>
              </w:rPr>
              <w:t xml:space="preserve"> on Render AND add the matching </w:t>
            </w:r>
            <w:r>
              <w:rPr>
                <w:rFonts w:ascii="Consolas" w:hAnsi="Consolas"/>
                <w:sz w:val="19"/>
              </w:rPr>
              <w:t>X-Api-Key</w:t>
            </w:r>
            <w:r>
              <w:rPr>
                <w:sz w:val="19"/>
              </w:rPr>
              <w:t xml:space="preserve"> header to the Vercel frontend's calls to </w:t>
            </w:r>
            <w:r>
              <w:rPr>
                <w:rFonts w:ascii="Consolas" w:hAnsi="Consolas"/>
                <w:sz w:val="19"/>
              </w:rPr>
              <w:t>/api/scan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/api/preflight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/api/credential-export</w:t>
            </w:r>
            <w:r>
              <w:rPr>
                <w:sz w:val="19"/>
              </w:rPr>
              <w:t>, balance endpoints. Order matters: frontend first or simultaneously, else scans 401. Rate limiting (per-IP, env-tunable) is already live and needs nothing.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`vendor_breaches.json` `marketo` row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Exits the 5-yr lookback ~2026-06-21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Refresh or prune deliberately; the wiring gate warns until then.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DONE (2026-06-01):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(and </w:t>
      </w:r>
      <w:r>
        <w:rPr>
          <w:rFonts w:ascii="Consolas" w:hAnsi="Consolas"/>
          <w:sz w:val="18"/>
        </w:rPr>
        <w:t>SHODAN_API_KEY</w:t>
      </w:r>
      <w:r>
        <w:t>) are set on</w:t>
      </w:r>
    </w:p>
    <w:p>
      <w:r>
        <w:t xml:space="preserve">  Render — prod now carries the IntelX/forum signal. The *paid-tier upgrade</w:t>
      </w:r>
    </w:p>
    <w:p>
      <w:r>
        <w:t xml:space="preserve">  decision* (Shodan Freelancer, IntelX replacement) remains open above.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t xml:space="preserve">&gt; </w:t>
      </w:r>
      <w:r>
        <w:rPr>
          <w:b/>
        </w:rPr>
        <w:t>STATUS (2026-06-11):</w:t>
      </w:r>
      <w:r>
        <w:t xml:space="preserve"> the 2026-06-03/04 session RETIRED the FIN-9 Pareto</w:t>
      </w:r>
    </w:p>
    <w:p>
      <w:r>
        <w:t>&gt; widening; the #14 records-driven cat redesign was wired instead (see</w:t>
      </w:r>
    </w:p>
    <w:p>
      <w:r>
        <w:t xml:space="preserve">&gt; </w:t>
      </w:r>
      <w:r>
        <w:rPr>
          <w:rFonts w:ascii="Consolas" w:hAnsi="Consolas"/>
          <w:sz w:val="18"/>
        </w:rPr>
        <w:t>calibration_prep/07_WIRING_SPEC_AND_HANDOFF.md</w:t>
      </w:r>
      <w:r>
        <w:t xml:space="preserve"> §7 and the FIN-9 memory</w:t>
      </w:r>
    </w:p>
    <w:p>
      <w:r>
        <w:t xml:space="preserve">&gt; memo). The dead-USD </w:t>
      </w:r>
      <w:r>
        <w:rPr>
          <w:rFonts w:ascii="Consolas" w:hAnsi="Consolas"/>
          <w:sz w:val="18"/>
        </w:rPr>
        <w:t>COST_PER_RECORD</w:t>
      </w:r>
      <w:r>
        <w:t xml:space="preserve"> / </w:t>
      </w:r>
      <w:r>
        <w:rPr>
          <w:rFonts w:ascii="Consolas" w:hAnsi="Consolas"/>
          <w:sz w:val="18"/>
        </w:rPr>
        <w:t>REGULATORY_FINE</w:t>
      </w:r>
      <w:r>
        <w:t xml:space="preserve"> tables listed</w:t>
      </w:r>
    </w:p>
    <w:p>
      <w:r>
        <w:t xml:space="preserve">&gt; below have since been </w:t>
      </w:r>
      <w:r>
        <w:rPr>
          <w:b/>
        </w:rPr>
        <w:t>deleted</w:t>
      </w:r>
      <w:r>
        <w:t xml:space="preserve"> from </w:t>
      </w:r>
      <w:r>
        <w:rPr>
          <w:rFonts w:ascii="Consolas" w:hAnsi="Consolas"/>
          <w:sz w:val="18"/>
        </w:rPr>
        <w:t>scoring_analytics.py</w:t>
      </w:r>
      <w:r>
        <w:t>. Still</w:t>
      </w:r>
    </w:p>
    <w:p>
      <w:r>
        <w:t xml:space="preserve">&gt; genuinely open from this table: the </w:t>
      </w:r>
      <w:r>
        <w:rPr>
          <w:rFonts w:ascii="Consolas" w:hAnsi="Consolas"/>
          <w:sz w:val="18"/>
        </w:rPr>
        <w:t>p_breach</w:t>
      </w:r>
      <w:r>
        <w:t xml:space="preserve"> base/curve sign-off, risk-band</w:t>
      </w:r>
    </w:p>
    <w:p>
      <w:r>
        <w:t>&gt; re-fit (200/400/600), TEF multipliers, K_TAIL, HIBP step thresholds,</w:t>
      </w:r>
    </w:p>
    <w:p>
      <w:r>
        <w:t>&gt; remediation caps — all colleague-gated.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Risk-level bands </w:t>
            </w:r>
            <w:r>
              <w:rPr>
                <w:rFonts w:ascii="Consolas" w:hAnsi="Consolas"/>
                <w:sz w:val="19"/>
              </w:rPr>
              <w:t>200 / 400 / 600</w:t>
            </w:r>
            <w:r>
              <w:rPr>
                <w:sz w:val="19"/>
              </w:rPr>
              <w:t xml:space="preserve"> (Low/Med/High/Crit on the 0-1000 score)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scoring_analytics.py:806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even split, set against the OLD inflated distribution; de-inflation lowered scores (phishield 381-&gt;169) so they may now mis-bucket — re-fit to the corrected distribution + align to the calibrated p(breach) tiers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