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2.0</w:t>
      </w:r>
    </w:p>
    <w:p>
      <w:pPr>
        <w:jc w:val="center"/>
      </w:pPr>
      <w:r>
        <w:rPr>
          <w:sz w:val="22"/>
        </w:rPr>
        <w:t>July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DNS records, SSL certificates, HTTP headers, open ports, email authentication, credential leaks, dark-web exposure, and reputation data,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Internet-wide port and service scanning data, vulnerability lookups</w:t>
      </w:r>
    </w:p>
    <w:p>
      <w:pPr>
        <w:pStyle w:val="ListParagraph"/>
        <w:widowControl/>
        <w:spacing w:after="40"/>
      </w:pPr>
      <w:r>
        <w:t>Have I Been Pwned (HIBP): Breach database for domain-level email exposure</w:t>
      </w:r>
    </w:p>
    <w:p>
      <w:pPr>
        <w:pStyle w:val="ListParagraph"/>
        <w:widowControl/>
        <w:spacing w:after="40"/>
      </w:pPr>
      <w:r>
        <w:t>Dehashed: Credential leak database with password hash and plaintext detection</w:t>
      </w:r>
    </w:p>
    <w:p>
      <w:pPr>
        <w:pStyle w:val="ListParagraph"/>
        <w:widowControl/>
        <w:spacing w:after="40"/>
      </w:pPr>
      <w:r>
        <w:t>VirusTotal: Malware, phishing, and reputation intelligence</w:t>
      </w:r>
    </w:p>
    <w:p>
      <w:pPr>
        <w:pStyle w:val="ListParagraph"/>
        <w:widowControl/>
        <w:spacing w:after="40"/>
      </w:pPr>
      <w:r>
        <w:t>SecurityTrails: Historical DNS records, domain ownership changes</w:t>
      </w:r>
    </w:p>
    <w:p>
      <w:pPr>
        <w:pStyle w:val="ListParagraph"/>
        <w:widowControl/>
        <w:spacing w:after="40"/>
      </w:pPr>
      <w:r>
        <w:t>IntelX (Intelligence X): Dark-web and paste-site exposure monitoring</w:t>
      </w:r>
    </w:p>
    <w:p>
      <w:pPr>
        <w:pStyle w:val="ListParagraph"/>
        <w:widowControl/>
        <w:spacing w:after="40"/>
      </w:pPr>
      <w:r>
        <w:t>OSV.dev / NVD: Open-source vulnerability database for CVE enrichment</w:t>
      </w:r>
    </w:p>
    <w:p>
      <w:pPr>
        <w:pStyle w:val="ListParagraph"/>
        <w:widowControl/>
        <w:spacing w:after="40"/>
      </w:pPr>
      <w:r>
        <w:t>HudsonRock: Infostealer malware credential compromise data</w:t>
      </w:r>
    </w:p>
    <w:p>
      <w:pPr>
        <w:pStyle w:val="ListParagraph"/>
        <w:widowControl/>
        <w:spacing w:after="40"/>
      </w:pPr>
      <w:r>
        <w:t>Certificate Transparency Logs: Subdomain enumeration via issued certificates</w:t>
      </w:r>
    </w:p>
    <w:p>
      <w:pPr>
        <w:pStyle w:val="ListParagraph"/>
        <w:widowControl/>
        <w:spacing w:after="40"/>
      </w:pPr>
      <w:r>
        <w:t>Multiple DNSBL providers: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A spinning indicator shows that the checker is currently executing. Multiple checkers run concurrently during Phase 2a.</w:t>
      </w:r>
    </w:p>
    <w:p>
      <w:pPr>
        <w:pStyle w:val="ListParagraph"/>
        <w:widowControl/>
        <w:spacing w:after="40"/>
      </w:pPr>
      <w:r>
        <w:t>Done: A green tick indicates successful completion. The checker's score or grade appears next to its name.</w:t>
      </w:r>
    </w:p>
    <w:p>
      <w:pPr>
        <w:pStyle w:val="ListParagraph"/>
        <w:widowControl/>
        <w:spacing w:after="40"/>
      </w:pPr>
      <w:r>
        <w:t>Error: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to 1 000:  Score 100.  Among the most visited sites on the internet.</w:t>
      </w:r>
    </w:p>
    <w:p>
      <w:pPr>
        <w:pStyle w:val="ListParagraph"/>
        <w:widowControl/>
        <w:spacing w:after="40"/>
      </w:pPr>
      <w:r>
        <w:t>Rank 1 001 to 10 000:  Score 90.  High-traffic, well-known domain.</w:t>
      </w:r>
    </w:p>
    <w:p>
      <w:pPr>
        <w:pStyle w:val="ListParagraph"/>
        <w:widowControl/>
        <w:spacing w:after="40"/>
      </w:pPr>
      <w:r>
        <w:t>Rank 10 001 to 100 000:  Score 70.  Moderate traffic, established online presence.</w:t>
      </w:r>
    </w:p>
    <w:p>
      <w:pPr>
        <w:pStyle w:val="ListParagraph"/>
        <w:widowControl/>
        <w:spacing w:after="40"/>
      </w:pPr>
      <w:r>
        <w:t>Rank 100 001 to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 to 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 to 94):  Very good. One or two minor items may be missing (for example, OCSP stapling or CAA records) but overall configuration is strong.</w:t>
      </w:r>
    </w:p>
    <w:p>
      <w:pPr>
        <w:pStyle w:val="ListParagraph"/>
        <w:widowControl/>
        <w:spacing w:after="40"/>
      </w:pPr>
      <w:r>
        <w:t>Grade B (score 70 to 84):  Acceptable. The certificate is valid and modern TLS is supported, but there may be a deprecated TLS version still enabled or HSTS may be missing. Remediation is recommended.</w:t>
      </w:r>
    </w:p>
    <w:p>
      <w:pPr>
        <w:pStyle w:val="ListParagraph"/>
        <w:widowControl/>
        <w:spacing w:after="40"/>
      </w:pPr>
      <w:r>
        <w:t>Grade C (score 55 to 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 to 54):  Poor. Serious configuration weaknesses are present. This may include an expiring certificate combined with deprecated protocols and missing HSTS.</w:t>
      </w:r>
    </w:p>
    <w:p>
      <w:pPr>
        <w:pStyle w:val="ListParagraph"/>
        <w:widowControl/>
        <w:spacing w:after="40"/>
      </w:pPr>
      <w:r>
        <w:t>Grade F (score 0 to 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 to 100%) of the maximum achievable weight.</w:t>
      </w:r>
    </w:p>
    <w:p>
      <w:pPr>
        <w:widowControl/>
        <w:spacing w:after="80"/>
      </w:pPr>
      <w:r>
        <w:t>Headers evaluated and their weights:</w:t>
      </w:r>
    </w:p>
    <w:p>
      <w:pPr>
        <w:widowControl/>
        <w:spacing w:after="80"/>
      </w:pPr>
      <w:r>
        <w:rPr>
          <w:b/>
        </w:rPr>
        <w:t xml:space="preserve">Strict-Transport-Security (HSTS),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 to 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Allows inline scripts and event handlers. This effectively defeats XSS protection, because an attacker who can inject HTML can also inject inline script tags.</w:t>
      </w:r>
    </w:p>
    <w:p>
      <w:pPr>
        <w:pStyle w:val="ListParagraph"/>
        <w:widowControl/>
        <w:spacing w:after="40"/>
      </w:pPr>
      <w:r>
        <w:t>'unsafe-eval': Allows the use of eval(), new Function(), and similar dynamic code execution methods. Attackers frequently exploit these functions to execute injected payloads.</w:t>
      </w:r>
    </w:p>
    <w:p>
      <w:pPr>
        <w:pStyle w:val="ListParagraph"/>
        <w:widowControl/>
        <w:spacing w:after="40"/>
      </w:pPr>
      <w:r>
        <w:t>Wildcard (*) in script-src: Permits scripts from any domain. An attacker can host a malicious script on any server and it will be allowed by the policy.</w:t>
      </w:r>
    </w:p>
    <w:p>
      <w:pPr>
        <w:pStyle w:val="ListParagraph"/>
        <w:widowControl/>
        <w:spacing w:after="40"/>
      </w:pPr>
      <w:r>
        <w:t>data: URIs in script-src,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The fallback directive. If this is missing and a specific directive is also missing, the browser applies no restriction for that resource type.</w:t>
      </w:r>
    </w:p>
    <w:p>
      <w:pPr>
        <w:pStyle w:val="ListParagraph"/>
        <w:widowControl/>
        <w:spacing w:after="40"/>
      </w:pPr>
      <w:r>
        <w:t>script-src: Controls where JavaScript can be loaded from. This is the most important directive for preventing XSS.</w:t>
      </w:r>
    </w:p>
    <w:p>
      <w:pPr>
        <w:pStyle w:val="ListParagraph"/>
        <w:widowControl/>
        <w:spacing w:after="40"/>
      </w:pPr>
      <w:r>
        <w:t>frame-ancestors: Controls which sites can embed this page in a frame. This is the modern replacement for X-Frame-Options.</w:t>
      </w:r>
    </w:p>
    <w:p>
      <w:pPr>
        <w:pStyle w:val="ListParagraph"/>
        <w:widowControl/>
        <w:spacing w:after="40"/>
      </w:pPr>
      <w:r>
        <w:t>object-src: Controls where plugins (Flash, Java applets) can be loaded from. Setting this to 'none' blocks legacy plugin-based attacks.</w:t>
      </w:r>
    </w:p>
    <w:p>
      <w:pPr>
        <w:pStyle w:val="ListParagraph"/>
        <w:widowControl/>
        <w:spacing w:after="40"/>
      </w:pPr>
      <w:r>
        <w:t>base-uri: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 to 100) is divided by 10 to produce a 0 to 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for example, a WAF or CDN returns a 403 or 503 challenge/block page to the scanner's user agent,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Detected via cf-ray header, cf-cache-status header, and related cookies.</w:t>
      </w:r>
    </w:p>
    <w:p>
      <w:pPr>
        <w:pStyle w:val="ListParagraph"/>
        <w:widowControl/>
        <w:spacing w:after="40"/>
      </w:pPr>
      <w:r>
        <w:t>AWS WAF / CloudFront: Detected via x-amz-cf-id header, x-amzn-requestid header, and AWS load-balancer cookies.</w:t>
      </w:r>
    </w:p>
    <w:p>
      <w:pPr>
        <w:pStyle w:val="ListParagraph"/>
        <w:widowControl/>
        <w:spacing w:after="40"/>
      </w:pPr>
      <w:r>
        <w:t>Imperva / Incapsula: Detected via x-iinfo header, x-cdn header, and incapsula session cookies.</w:t>
      </w:r>
    </w:p>
    <w:p>
      <w:pPr>
        <w:pStyle w:val="ListParagraph"/>
        <w:widowControl/>
        <w:spacing w:after="40"/>
      </w:pPr>
      <w:r>
        <w:t>Akamai: Detected via x-akamai-transformed header and Akamai bot-management cookies.</w:t>
      </w:r>
    </w:p>
    <w:p>
      <w:pPr>
        <w:pStyle w:val="ListParagraph"/>
        <w:widowControl/>
        <w:spacing w:after="40"/>
      </w:pPr>
      <w:r>
        <w:t>Sucuri: Detected via x-sucuri-id and x-sucuri-cache headers.</w:t>
      </w:r>
    </w:p>
    <w:p>
      <w:pPr>
        <w:pStyle w:val="ListParagraph"/>
        <w:widowControl/>
        <w:spacing w:after="40"/>
      </w:pPr>
      <w:r>
        <w:t>F5 BIG-IP ASM,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Monitor only. Failing messages are still delivered. This is a starting point for collecting data but provides no protection.</w:t>
      </w:r>
    </w:p>
    <w:p>
      <w:pPr>
        <w:pStyle w:val="ListParagraph"/>
        <w:widowControl/>
        <w:spacing w:after="40"/>
      </w:pPr>
      <w:r>
        <w:t>quarantine: Failing messages are sent to the recipient’s spam or junk folder. Provides moderate protection.</w:t>
      </w:r>
    </w:p>
    <w:p>
      <w:pPr>
        <w:pStyle w:val="ListParagraph"/>
        <w:widowControl/>
        <w:spacing w:after="40"/>
      </w:pPr>
      <w:r>
        <w:t>reject: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A search and analytics engine that often contains indexed copies of sensitive business data. Exposed Elasticsearch clusters are a leading cause of large-scale data leaks.</w:t>
      </w:r>
    </w:p>
    <w:p>
      <w:pPr>
        <w:pStyle w:val="ListParagraph"/>
        <w:widowControl/>
        <w:spacing w:after="40"/>
      </w:pPr>
      <w:r>
        <w:t>PostgreSQL (port 5432): A relational database that, if internet-facing, is subject to brute-force password attacks and exploitation of known vulnerabilities.</w:t>
      </w:r>
    </w:p>
    <w:p>
      <w:pPr>
        <w:pStyle w:val="ListParagraph"/>
        <w:widowControl/>
        <w:spacing w:after="40"/>
      </w:pPr>
      <w:r>
        <w:t>Microsoft SQL Server (port 1433):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A document-oriented database that exposes an HTTP API. Default configurations may allow unauthenticated read and write access to all databases.</w:t>
      </w:r>
    </w:p>
    <w:p>
      <w:pPr>
        <w:pStyle w:val="ListParagraph"/>
        <w:widowControl/>
        <w:spacing w:after="40"/>
      </w:pPr>
      <w:r>
        <w:t>MySQL (port 3306):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The CDN absorbs volumetric attacks that would overwhelm your origin server, maintaining availability during an attack.</w:t>
      </w:r>
    </w:p>
    <w:p>
      <w:pPr>
        <w:pStyle w:val="ListParagraph"/>
        <w:widowControl/>
        <w:spacing w:after="40"/>
      </w:pPr>
      <w:r>
        <w:t>Origin Masking: The CDN hides your actual server IP address, making it significantly harder for attackers to target your infrastructure directly.</w:t>
      </w:r>
    </w:p>
    <w:p>
      <w:pPr>
        <w:pStyle w:val="ListParagraph"/>
        <w:widowControl/>
        <w:spacing w:after="40"/>
      </w:pPr>
      <w:r>
        <w:t>Web Application Firewall (WAF): Many CDN providers include a WAF that filters common web attacks (SQL injection, cross-site scripting) before they reach your application.</w:t>
      </w:r>
    </w:p>
    <w:p>
      <w:pPr>
        <w:pStyle w:val="ListParagraph"/>
        <w:widowControl/>
        <w:spacing w:after="40"/>
      </w:pPr>
      <w:r>
        <w:t>Performance: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the ‘origin’,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this is a typical result for established businesses. The breach names, dates, and exposed data types are listed in the report.</w:t>
      </w:r>
    </w:p>
    <w:p>
      <w:pPr>
        <w:pStyle w:val="ListParagraph"/>
        <w:widowControl/>
        <w:spacing w:after="40"/>
      </w:pPr>
      <w:r>
        <w:t>Data classes exposed: Email addresses, Passwords, Names, Phone numbers, the more sensitive data classes present, the higher the risk to the organisation.</w:t>
      </w:r>
    </w:p>
    <w:p>
      <w:pPr>
        <w:pStyle w:val="ListParagraph"/>
        <w:widowControl/>
        <w:spacing w:after="40"/>
      </w:pPr>
      <w:r>
        <w:t>Most recent breach: 2024-01-15,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widowControl/>
        <w:spacing w:after="80"/>
      </w:pPr>
      <w:r>
        <w:rPr>
          <w:b/>
        </w:rPr>
        <w:t xml:space="preserve">Web-corroborated breach discovery (beyond HIBP): </w:t>
      </w:r>
      <w:r>
        <w:t>HIBP's breaches-by-domain catalogue only fires when a company is itself a named, catalogued victim, so it returns zero for the great majority of South African companies even when they have been breached (for example a 3.6-million-record retail-pharmacy breach that made national headlines but was never added to HIBP). To close that gap the scanner corroborates breach history from dated open-source intelligence: reputable news coverage (via Google News) and public ransomware leak-site listings. A deterministic gate keeps this precise, an item counts only when the company name AND a breach term both appear in the headline, so namesakes and generic security news are dropped.</w:t>
      </w:r>
    </w:p>
    <w:p>
      <w:pPr>
        <w:widowControl/>
        <w:spacing w:after="80"/>
      </w:pPr>
      <w:r>
        <w:t>The question is then RESEARCHED rather than merely matched. The scanner runs a deep, multi-provider answer engine: the query is fanned out across several independent search providers in parallel, the results are fused and ranked, the highest-ranked source pages are actually fetched and read, the engine reasons about what is still missing and searches again, and a language model then synthesises an answer with inline citations to the real sources. A second model pass renders that answer into structured incidents.</w:t>
      </w:r>
    </w:p>
    <w:p>
      <w:pPr>
        <w:widowControl/>
        <w:spacing w:after="80"/>
      </w:pPr>
      <w:r>
        <w:t>Because the engine reads the sources rather than only their headlines, it recovers detail a headline scrape cannot: the date the breach actually OCCURRED (as distinct from the date it was first reported), the number of records affected, the root cause, and any regulatory action. In the Dis-Chem example the engine returns an incident date of approximately 28 April 2022 with 3.68 million records affected, attributes the compromise to a third-party e-statement provider accessed by brute force, and cites the Information Regulator's own enforcement notice, where the first press article is dated 11 May 2022 and states none of that. This distinction matters commercially: a recent, confirmed breach materially changes cyber posture, whereas a decade-old one is largely historical, and a third-party root cause is a supply-chain signal rather than a failure of the insured's own controls.</w:t>
      </w:r>
    </w:p>
    <w:p>
      <w:pPr>
        <w:widowControl/>
        <w:spacing w:after="80"/>
      </w:pPr>
      <w:r>
        <w:rPr>
          <w:b/>
          <w:color w:val="003399"/>
        </w:rPr>
        <w:t xml:space="preserve">NOTE: </w:t>
      </w:r>
      <w:r>
        <w:t>Conservative by design, like the credential confidence column. A confirmed breach requires a ransomware leak-site listing or two or more independent reputable outlets; a single ambiguous mention is graded low-confidence and is surfaced as a monitoring signal, not asserted as a breach. A leak-site listing is direct evidence of compromise and floors the verdict at confirmed. If the research layer is unavailable, the check degrades gracefully to the deterministic verdict rather than failing, and records which layer produced the result so a thin answer is never mistaken for a clean one.</w:t>
      </w:r>
    </w:p>
    <w:p>
      <w:pPr>
        <w:widowControl/>
        <w:spacing w:after="80"/>
      </w:pPr>
      <w:r>
        <w:rPr>
          <w:b/>
        </w:rPr>
        <w:t xml:space="preserve">How a researched breach affects the score: </w:t>
      </w:r>
      <w:r>
        <w:t>Breach history is scored on RECENCY rather than on how many breaches are listed. A single incident last quarter says far more about present-day posture than several a decade ago, and the older count-based treatment said the opposite. The researched result supersedes the HIBP count in the same breach-history slot at the same weight, so nothing is double-counted and HIBP is retained as a floor. An incident within the last year carries the full weighting, tapering through roughly the three-year mark and falling away beyond five years, on the reasoning that staff, infrastructure and controls turn over. A single-source result carries about seventy percent of a corroborated one.</w:t>
      </w:r>
    </w:p>
    <w:p>
      <w:pPr>
        <w:widowControl/>
        <w:spacing w:after="80"/>
      </w:pPr>
      <w:r>
        <w:t>The same dated result also drives the breach-recency component of the Data Breach Resilience index, which previously depended on a HIBP date that is absent for almost every South African domain, and it adds a repeat-victimisation factor to the Ransomware Susceptibility Index. That factor is weighted by quarter through the first year, because the recovery window is itself the period of elevated risk: an insured still rebuilding systems, rotating credentials and running incident response is at its most exposed, and that exposure eases as remediation lands. It falls away entirely beyond three years.</w:t>
      </w:r>
    </w:p>
    <w:p>
      <w:pPr>
        <w:widowControl/>
        <w:spacing w:after="80"/>
      </w:pPr>
      <w:r>
        <w:rPr>
          <w:b/>
          <w:color w:val="B40000"/>
        </w:rPr>
        <w:t xml:space="preserve">WARNING: </w:t>
      </w:r>
      <w:r>
        <w:t>If the research cannot run, the breach history is reported as UNASSESSED and contributes nothing to the score. It is never reported as clean. An absence of evidence produced by an outage is not evidence of absence, and the distinction is visible on both the scan form and the report.</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Spamhaus open-resolver / rate-limit codes in the 127.255.255.x range and the URIBL 127.0.0.1 query-refused code,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this is the most common single listing and indicates the IP has been flagged for spam or malware activity.</w:t>
      </w:r>
    </w:p>
    <w:p>
      <w:pPr>
        <w:pStyle w:val="ListParagraph"/>
        <w:widowControl/>
        <w:spacing w:after="40"/>
      </w:pPr>
      <w:r>
        <w:t>Listed on dnsbl-1.uceprotect.net: UCEProtect listings often indicate the IP sits on a range with a poor sending reputation or has been an open relay.</w:t>
      </w:r>
    </w:p>
    <w:p>
      <w:pPr>
        <w:pStyle w:val="ListParagraph"/>
        <w:widowControl/>
        <w:spacing w:after="40"/>
      </w:pPr>
      <w:r>
        <w:t>No listings found,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HTTP 200 (CRITICAL): The environment file is publicly readable. This typically exposes database host, username, password, API keys, and application secrets.</w:t>
      </w:r>
    </w:p>
    <w:p>
      <w:pPr>
        <w:pStyle w:val="ListParagraph"/>
        <w:widowControl/>
        <w:spacing w:after="40"/>
      </w:pPr>
      <w:r>
        <w:t>/wp-admin, HTTP 200: The WordPress administration panel is accessible from the public internet without IP restriction.</w:t>
      </w:r>
    </w:p>
    <w:p>
      <w:pPr>
        <w:pStyle w:val="ListParagraph"/>
        <w:widowControl/>
        <w:spacing w:after="40"/>
      </w:pPr>
      <w:r>
        <w:t>/server-status, HTTP 200 (MEDIUM): Apache mod_status is enabled, leaking active connections, client IPs, and request URLs.</w:t>
      </w:r>
    </w:p>
    <w:p>
      <w:pPr>
        <w:pStyle w:val="ListParagraph"/>
        <w:widowControl/>
        <w:spacing w:after="40"/>
      </w:pPr>
      <w:r>
        <w:t>/.git/HEAD,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endpoint unclaimed. An attacker can register this GitHub Pages repository and serve content on the subdomain.</w:t>
      </w:r>
    </w:p>
    <w:p>
      <w:pPr>
        <w:pStyle w:val="ListParagraph"/>
        <w:widowControl/>
        <w:spacing w:after="40"/>
      </w:pPr>
      <w:r>
        <w:t>vpn.example.com, owa.example.com,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remove the dangling CNAME record from DNS,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CVSS 9.8 (CRITICAL), CISA KEV: Yes, EPSS: 94.2%,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easily cracked) or strong (bcrypt, argon2, scrypt, SHA-256, SHA-512,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corporate addresses represent direct risk to the organisation.</w:t>
      </w:r>
    </w:p>
    <w:p>
      <w:pPr>
        <w:pStyle w:val="ListParagraph"/>
        <w:widowControl/>
        <w:spacing w:after="40"/>
      </w:pPr>
      <w:r>
        <w:t>Breach sources: Collection #1, LinkedIn 2012, Adobe, Exploit.in, Anti Public Combo List,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credentials are actively being sold on dark web markets. Immediate incident response required.</w:t>
      </w:r>
    </w:p>
    <w:p>
      <w:pPr>
        <w:pStyle w:val="ListParagraph"/>
        <w:widowControl/>
        <w:spacing w:after="40"/>
      </w:pPr>
      <w:r>
        <w:t>3 user account(s) compromised via infostealer, force password resets and enable MFA for affected accounts.</w:t>
      </w:r>
    </w:p>
    <w:p>
      <w:pPr>
        <w:pStyle w:val="ListParagraph"/>
        <w:widowControl/>
        <w:spacing w:after="40"/>
      </w:pPr>
      <w:r>
        <w:t>5 third-party exposure(s) detected, review supply chain partners and shared credential access.</w:t>
      </w:r>
    </w:p>
    <w:p>
      <w:pPr>
        <w:pStyle w:val="ListParagraph"/>
        <w:widowControl/>
        <w:spacing w:after="40"/>
      </w:pPr>
      <w:r>
        <w:t>No infostealer infections detected,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credentials or data may be actively traded on criminal forums.</w:t>
      </w:r>
    </w:p>
    <w:p>
      <w:pPr>
        <w:pStyle w:val="ListParagraph"/>
        <w:widowControl/>
        <w:spacing w:after="40"/>
      </w:pPr>
      <w:r>
        <w:t>8 paste site mention(s), data has been shared on public paste sites (Pastebin, etc.).</w:t>
      </w:r>
    </w:p>
    <w:p>
      <w:pPr>
        <w:pStyle w:val="ListParagraph"/>
        <w:widowControl/>
        <w:spacing w:after="40"/>
      </w:pPr>
      <w:r>
        <w:t>12 reference(s) found in dark web and leak databases,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Dehashed, HIBP, Hudson Rock, and IntelX,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the plaintext- and hashed-password subset from the Dehashed credential breakdown,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Active infostealer infection detected or credentials being actively traded on the dark web. Immediate incident response required: isolate devices, force all password resets, enable MFA, engage forensics. HIGH: Recent breach (2023+) with password exposure, or dark web mentions detected. Force password resets for identified accounts, enable MFA, implement continuous monitoring. MEDIUM: Historical credential exposure without active compromise indicators. Review affected accounts, enforce MFA, monitor for credential-stuffing attempts. LOW: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human-readable explanations of why the risk level was assigned (e.g., 'ACTIVE INFOSTEALER: 2 employee device(s) currently infected,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e.g., 'business', 'phishing', 'malware'), popularity_ranks (Alexa, Cisco Umbrella), and last_analysis_results (per-engine verdict details). The scanner extracts flagging engines, any engine that returned 'malicious' or 'suspicious',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the flagging engines are listed by name (e.g., Fortinet, Kaspersky, ESET) with their specific verdicts.</w:t>
      </w:r>
    </w:p>
    <w:p>
      <w:pPr>
        <w:pStyle w:val="ListParagraph"/>
        <w:widowControl/>
        <w:spacing w:after="40"/>
      </w:pPr>
      <w:r>
        <w:t>1 security engine(s) flagged this domain as suspicious, a single suspicious flag may be a false positive but warrants investigation.</w:t>
      </w:r>
    </w:p>
    <w:p>
      <w:pPr>
        <w:pStyle w:val="ListParagraph"/>
        <w:widowControl/>
        <w:spacing w:after="40"/>
      </w:pPr>
      <w:r>
        <w:t>Categories: Fortinet classifies the domain as 'phishing',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these are the highest-risk variants as they can serve convincing HTTPS phishing pages.</w:t>
      </w:r>
    </w:p>
    <w:p>
      <w:pPr>
        <w:pStyle w:val="ListParagraph"/>
        <w:widowControl/>
        <w:spacing w:after="40"/>
      </w:pPr>
      <w:r>
        <w:t>No lookalike domains resolving,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broker should review whether the unknown include is legitimate or a stale configuration artefact.</w:t>
      </w:r>
    </w:p>
    <w:p>
      <w:pPr>
        <w:keepNext/>
        <w:spacing w:before="200" w:after="60"/>
      </w:pPr>
      <w:r>
        <w:rPr>
          <w:b/>
          <w:color w:val="003366"/>
          <w:sz w:val="26"/>
        </w:rPr>
        <w:t>4.6.16  CMS Plugin Surface: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most reliably,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a point-in-time malware capture,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'is someone able to log in right now?',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Hudson Rock infostealer harvest (via credential_risk), S-4 SPF vendor surface, S-5 known-breach matches,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Interpreting Exposure Results</w:t>
      </w:r>
    </w:p>
    <w:p>
      <w:pPr>
        <w:widowControl/>
        <w:spacing w:after="80"/>
      </w:pPr>
      <w:r>
        <w:t>The seventeen checkers in this section work together to provide a 360-degree view of a domain's exposure and reputation profile,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refreshed against endoflife.date,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flagged as a risk factor. New domains lack reputation history and are disproportionately used in scam operations.</w:t>
      </w:r>
    </w:p>
    <w:p>
      <w:pPr>
        <w:pStyle w:val="ListParagraph"/>
        <w:widowControl/>
        <w:spacing w:after="40"/>
      </w:pPr>
      <w:r>
        <w:t>Domain age over 5 years, positive trust signal. Long-standing domains indicate business continuity and established operations.</w:t>
      </w:r>
    </w:p>
    <w:p>
      <w:pPr>
        <w:pStyle w:val="ListParagraph"/>
        <w:widowControl/>
        <w:spacing w:after="40"/>
      </w:pPr>
      <w:r>
        <w:t>Domain expiry within 90 days, warning flag. A domain that is about to expire may indicate neglected infrastructure or a business in decline.</w:t>
      </w:r>
    </w:p>
    <w:p>
      <w:pPr>
        <w:pStyle w:val="ListParagraph"/>
        <w:widowControl/>
        <w:spacing w:after="40"/>
      </w:pPr>
      <w:r>
        <w:t>WHOIS privacy enabled,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frequent changes to A records or NS records may indicate infrastructure instability or a recent migration.</w:t>
      </w:r>
    </w:p>
    <w:p>
      <w:pPr>
        <w:pStyle w:val="ListParagraph"/>
        <w:widowControl/>
        <w:spacing w:after="40"/>
      </w:pPr>
      <w:r>
        <w:t>MX record analysis, identifies the email provider (Google Workspace, Microsoft 365, self-hosted). Self-hosted mail servers require more operational security than managed providers.</w:t>
      </w:r>
    </w:p>
    <w:p>
      <w:pPr>
        <w:pStyle w:val="ListParagraph"/>
        <w:widowControl/>
        <w:spacing w:after="40"/>
      </w:pPr>
      <w:r>
        <w:t>NS record analysis,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Does the policy describe what personal information is collected and the lawful basis for processing?</w:t>
      </w:r>
    </w:p>
    <w:p>
      <w:pPr>
        <w:pStyle w:val="ListParagraph"/>
        <w:widowControl/>
        <w:spacing w:after="40"/>
      </w:pPr>
      <w:r>
        <w:t>Data retention: Does the policy state how long data is kept and the criteria used to determine retention periods?</w:t>
      </w:r>
    </w:p>
    <w:p>
      <w:pPr>
        <w:pStyle w:val="ListParagraph"/>
        <w:widowControl/>
        <w:spacing w:after="40"/>
      </w:pPr>
      <w:r>
        <w:t>Data subject rights: Does the policy inform individuals of their rights to access, correct, and delete their personal information?</w:t>
      </w:r>
    </w:p>
    <w:p>
      <w:pPr>
        <w:pStyle w:val="ListParagraph"/>
        <w:widowControl/>
        <w:spacing w:after="40"/>
      </w:pPr>
      <w:r>
        <w:t>Information officer: Does the policy name or reference an information officer or data protection officer, as required by POPIA Section 55?</w:t>
      </w:r>
    </w:p>
    <w:p>
      <w:pPr>
        <w:pStyle w:val="ListParagraph"/>
        <w:widowControl/>
        <w:spacing w:after="40"/>
      </w:pPr>
      <w:r>
        <w:t>Cross-border transfers: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If security.txt references a PGP encryption key, it shows the organisation can receive encrypted vulnerability reports, adding another layer of operational maturity.</w:t>
      </w:r>
    </w:p>
    <w:p>
      <w:pPr>
        <w:pStyle w:val="ListParagraph"/>
        <w:widowControl/>
        <w:spacing w:after="40"/>
      </w:pPr>
      <w:r>
        <w:t>robots.txt: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Encryption in Transit: TLS configuration and certificate validity (from the SSL checker). POPIA Section 19 requires appropriate technical measures to secure personal information.</w:t>
      </w:r>
    </w:p>
    <w:p>
      <w:pPr>
        <w:pStyle w:val="ListParagraph"/>
        <w:widowControl/>
        <w:spacing w:after="40"/>
      </w:pPr>
      <w:r>
        <w:t>S19b, Security Headers: HTTP security headers that prevent XSS, clickjacking, and MIME-type attacks.</w:t>
      </w:r>
    </w:p>
    <w:p>
      <w:pPr>
        <w:pStyle w:val="ListParagraph"/>
        <w:widowControl/>
        <w:spacing w:after="40"/>
      </w:pPr>
      <w:r>
        <w:t>S19c, Web Application Security: Secure website configuration and WAF protection.</w:t>
      </w:r>
    </w:p>
    <w:p>
      <w:pPr>
        <w:pStyle w:val="ListParagraph"/>
        <w:widowControl/>
        <w:spacing w:after="40"/>
      </w:pPr>
      <w:r>
        <w:t>S19d, Network Access Control: Restriction of remote access services (RDP, VPN) and closure of high-risk network ports.</w:t>
      </w:r>
    </w:p>
    <w:p>
      <w:pPr>
        <w:pStyle w:val="ListParagraph"/>
        <w:widowControl/>
        <w:spacing w:after="40"/>
      </w:pPr>
      <w:r>
        <w:t>S19e, Email Security: SPF, DMARC, and DKIM configuration to prevent phishing and email impersonation.</w:t>
      </w:r>
    </w:p>
    <w:p>
      <w:pPr>
        <w:pStyle w:val="ListParagraph"/>
        <w:widowControl/>
        <w:spacing w:after="40"/>
      </w:pPr>
      <w:r>
        <w:t>S20a, Privacy Policy: Published privacy policy covering all POPIA-required sections.</w:t>
      </w:r>
    </w:p>
    <w:p>
      <w:pPr>
        <w:pStyle w:val="ListParagraph"/>
        <w:widowControl/>
        <w:spacing w:after="40"/>
      </w:pPr>
      <w:r>
        <w:t>S20b, Data Minimisation: No unnecessary exposure of sensitive files or admin interfaces.</w:t>
      </w:r>
    </w:p>
    <w:p>
      <w:pPr>
        <w:pStyle w:val="ListParagraph"/>
        <w:widowControl/>
        <w:spacing w:after="40"/>
      </w:pPr>
      <w:r>
        <w:t>S21a, Software Currency: All software components actively maintained with no end-of-life versions.</w:t>
      </w:r>
    </w:p>
    <w:p>
      <w:pPr>
        <w:pStyle w:val="ListParagraph"/>
        <w:widowControl/>
        <w:spacing w:after="40"/>
      </w:pPr>
      <w:r>
        <w:t>S22a, Breach History: Historical data breach exposure and notification readiness.</w:t>
      </w:r>
    </w:p>
    <w:p>
      <w:pPr>
        <w:pStyle w:val="ListParagraph"/>
        <w:widowControl/>
        <w:spacing w:after="40"/>
      </w:pPr>
      <w:r>
        <w:t>S22b,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Default Credentials: Checks for exposed admin panels that may use default or guessable credentials.</w:t>
      </w:r>
    </w:p>
    <w:p>
      <w:pPr>
        <w:pStyle w:val="ListParagraph"/>
        <w:widowControl/>
        <w:spacing w:after="40"/>
      </w:pPr>
      <w:r>
        <w:t>Req 2b, System Hardening: Security headers and information disclosure controls.</w:t>
      </w:r>
    </w:p>
    <w:p>
      <w:pPr>
        <w:pStyle w:val="ListParagraph"/>
        <w:widowControl/>
        <w:spacing w:after="40"/>
      </w:pPr>
      <w:r>
        <w:t>Req 2c, Security Policies: Presence of documented security policies (security.txt).</w:t>
      </w:r>
    </w:p>
    <w:p>
      <w:pPr>
        <w:pStyle w:val="ListParagraph"/>
        <w:widowControl/>
        <w:spacing w:after="40"/>
      </w:pPr>
      <w:r>
        <w:t>Req 4a, TLS Configuration: Strong TLS encryption for cardholder data transmission.</w:t>
      </w:r>
    </w:p>
    <w:p>
      <w:pPr>
        <w:pStyle w:val="ListParagraph"/>
        <w:widowControl/>
        <w:spacing w:after="40"/>
      </w:pPr>
      <w:r>
        <w:t>Req 4b, HTTPS Enforcement: All endpoints handling sensitive data served exclusively over HTTPS.</w:t>
      </w:r>
    </w:p>
    <w:p>
      <w:pPr>
        <w:pStyle w:val="ListParagraph"/>
        <w:widowControl/>
        <w:spacing w:after="40"/>
      </w:pPr>
      <w:r>
        <w:t>Req 6a, Patch Management: Software versions current with no known vulnerabilities.</w:t>
      </w:r>
    </w:p>
    <w:p>
      <w:pPr>
        <w:pStyle w:val="ListParagraph"/>
        <w:widowControl/>
        <w:spacing w:after="40"/>
      </w:pPr>
      <w:r>
        <w:t>Req 6b, Secure Coding: Secure application headers and web application protection.</w:t>
      </w:r>
    </w:p>
    <w:p>
      <w:pPr>
        <w:pStyle w:val="ListParagraph"/>
        <w:widowControl/>
        <w:spacing w:after="40"/>
      </w:pPr>
      <w:r>
        <w:t>Req 8a, Payment Security: PCI-compliant payment processing (third-party vs. self-hosted).</w:t>
      </w:r>
    </w:p>
    <w:p>
      <w:pPr>
        <w:pStyle w:val="ListParagraph"/>
        <w:widowControl/>
        <w:spacing w:after="40"/>
      </w:pPr>
      <w:r>
        <w:t>Req 11a, Vulnerability Scanning: External vulnerability scan results from Shodan CVE analysis.</w:t>
      </w:r>
    </w:p>
    <w:p>
      <w:pPr>
        <w:pStyle w:val="ListParagraph"/>
        <w:widowControl/>
        <w:spacing w:after="40"/>
      </w:pPr>
      <w:r>
        <w:t>Req 11b,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Asset Inventory: Technology stack detection and external IP enumeration.</w:t>
      </w:r>
    </w:p>
    <w:p>
      <w:pPr>
        <w:pStyle w:val="ListParagraph"/>
        <w:widowControl/>
        <w:spacing w:after="40"/>
      </w:pPr>
      <w:r>
        <w:t>A.8b, Attack Surface: Subdomain discovery and attack surface mapping.</w:t>
      </w:r>
    </w:p>
    <w:p>
      <w:pPr>
        <w:pStyle w:val="ListParagraph"/>
        <w:widowControl/>
        <w:spacing w:after="40"/>
      </w:pPr>
      <w:r>
        <w:t>A.12a, Network Security: Open port analysis, DNS infrastructure, and service hardening.</w:t>
      </w:r>
    </w:p>
    <w:p>
      <w:pPr>
        <w:pStyle w:val="ListParagraph"/>
        <w:widowControl/>
        <w:spacing w:after="40"/>
      </w:pPr>
      <w:r>
        <w:t>A.12b, Remote Access: RDP, VPN, and remote access protocol security.</w:t>
      </w:r>
    </w:p>
    <w:p>
      <w:pPr>
        <w:pStyle w:val="ListParagraph"/>
        <w:widowControl/>
        <w:spacing w:after="40"/>
      </w:pPr>
      <w:r>
        <w:t>A.12c, Malware and Reputation: DNSBL blacklisting and VirusTotal malware detection.</w:t>
      </w:r>
    </w:p>
    <w:p>
      <w:pPr>
        <w:pStyle w:val="ListParagraph"/>
        <w:widowControl/>
        <w:spacing w:after="40"/>
      </w:pPr>
      <w:r>
        <w:t>A.12d, DDoS Resilience: WAF detection and CDN/cloud infrastructure.</w:t>
      </w:r>
    </w:p>
    <w:p>
      <w:pPr>
        <w:pStyle w:val="ListParagraph"/>
        <w:widowControl/>
        <w:spacing w:after="40"/>
      </w:pPr>
      <w:r>
        <w:t>A.14a, Encryption Standards: SSL/TLS configuration and certificate management.</w:t>
      </w:r>
    </w:p>
    <w:p>
      <w:pPr>
        <w:pStyle w:val="ListParagraph"/>
        <w:widowControl/>
        <w:spacing w:after="40"/>
      </w:pPr>
      <w:r>
        <w:t>A.14b, Application Security: HTTP security headers and web application hardening.</w:t>
      </w:r>
    </w:p>
    <w:p>
      <w:pPr>
        <w:pStyle w:val="ListParagraph"/>
        <w:widowControl/>
        <w:spacing w:after="40"/>
      </w:pPr>
      <w:r>
        <w:t>A.14c,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Govern,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GV.1 Security Policy: Documented cybersecurity governance (security.txt).</w:t>
      </w:r>
    </w:p>
    <w:p>
      <w:pPr>
        <w:pStyle w:val="ListParagraph"/>
        <w:widowControl/>
        <w:spacing w:after="40"/>
      </w:pPr>
      <w:r>
        <w:t>GOVERN, GV.2 Privacy Governance: Privacy policy and data protection compliance.</w:t>
      </w:r>
    </w:p>
    <w:p>
      <w:pPr>
        <w:pStyle w:val="ListParagraph"/>
        <w:widowControl/>
        <w:spacing w:after="40"/>
      </w:pPr>
      <w:r>
        <w:t>IDENTIFY, ID.1 Asset Discovery: Technology stack and external IP inventory.</w:t>
      </w:r>
    </w:p>
    <w:p>
      <w:pPr>
        <w:pStyle w:val="ListParagraph"/>
        <w:widowControl/>
        <w:spacing w:after="40"/>
      </w:pPr>
      <w:r>
        <w:t>IDENTIFY, ID.2 Attack Surface Mapping: Subdomain discovery and information disclosure.</w:t>
      </w:r>
    </w:p>
    <w:p>
      <w:pPr>
        <w:pStyle w:val="ListParagraph"/>
        <w:widowControl/>
        <w:spacing w:after="40"/>
      </w:pPr>
      <w:r>
        <w:t>PROTECT, PR.1 Encryption and TLS: Data-in-transit protection.</w:t>
      </w:r>
    </w:p>
    <w:p>
      <w:pPr>
        <w:pStyle w:val="ListParagraph"/>
        <w:widowControl/>
        <w:spacing w:after="40"/>
      </w:pPr>
      <w:r>
        <w:t>PROTECT, PR.2 Security Headers and Hardening: HTTP hardening and web application security.</w:t>
      </w:r>
    </w:p>
    <w:p>
      <w:pPr>
        <w:pStyle w:val="ListParagraph"/>
        <w:widowControl/>
        <w:spacing w:after="40"/>
      </w:pPr>
      <w:r>
        <w:t>PROTECT, PR.3 Perimeter Defence: WAF, firewall rules, and remote access controls.</w:t>
      </w:r>
    </w:p>
    <w:p>
      <w:pPr>
        <w:pStyle w:val="ListParagraph"/>
        <w:widowControl/>
        <w:spacing w:after="40"/>
      </w:pPr>
      <w:r>
        <w:t>PROTECT, PR.4 Email Authentication: SPF, DMARC, DKIM, and MTA-STS.</w:t>
      </w:r>
    </w:p>
    <w:p>
      <w:pPr>
        <w:pStyle w:val="ListParagraph"/>
        <w:widowControl/>
        <w:spacing w:after="40"/>
      </w:pPr>
      <w:r>
        <w:t>DETECT, DE.1 Vulnerability Detection: Shodan CVE analysis and version-based vulnerability scanning.</w:t>
      </w:r>
    </w:p>
    <w:p>
      <w:pPr>
        <w:pStyle w:val="ListParagraph"/>
        <w:widowControl/>
        <w:spacing w:after="40"/>
      </w:pPr>
      <w:r>
        <w:t>DETECT, DE.2 Threat Intelligence: VirusTotal, DNSBL, and exposed admin detection.</w:t>
      </w:r>
    </w:p>
    <w:p>
      <w:pPr>
        <w:pStyle w:val="ListParagraph"/>
        <w:widowControl/>
        <w:spacing w:after="40"/>
      </w:pPr>
      <w:r>
        <w:t>RESPOND, RS.1 Breach Response: Historical breach exposure and credential leak monitoring.</w:t>
      </w:r>
    </w:p>
    <w:p>
      <w:pPr>
        <w:pStyle w:val="ListParagraph"/>
        <w:widowControl/>
        <w:spacing w:after="40"/>
      </w:pPr>
      <w:r>
        <w:t>RESPOND, RS.2 Security Disclosure: Published vulnerability disclosure policy.</w:t>
      </w:r>
    </w:p>
    <w:p>
      <w:pPr>
        <w:pStyle w:val="ListParagraph"/>
        <w:widowControl/>
        <w:spacing w:after="40"/>
      </w:pPr>
      <w:r>
        <w:t>RECOVER, RC.1 Infrastructure Resilience: DNS redundancy and CDN availability.</w:t>
      </w:r>
    </w:p>
    <w:p>
      <w:pPr>
        <w:pStyle w:val="ListParagraph"/>
        <w:widowControl/>
        <w:spacing w:after="40"/>
      </w:pPr>
      <w:r>
        <w:t>RECOVER,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The control meets the expected standard based on external evidence.</w:t>
      </w:r>
    </w:p>
    <w:p>
      <w:pPr>
        <w:pStyle w:val="ListParagraph"/>
        <w:widowControl/>
        <w:spacing w:after="40"/>
      </w:pPr>
      <w:r>
        <w:t>PARTIAL (score 40 to 69): The control is partially implemented but has gaps.</w:t>
      </w:r>
    </w:p>
    <w:p>
      <w:pPr>
        <w:pStyle w:val="ListParagraph"/>
        <w:widowControl/>
        <w:spacing w:after="40"/>
      </w:pPr>
      <w:r>
        <w:t>FAIL (score below 40): The control is absent or critically deficient.</w:t>
      </w:r>
    </w:p>
    <w:p>
      <w:pPr>
        <w:pStyle w:val="ListParagraph"/>
        <w:widowControl/>
        <w:spacing w:after="40"/>
      </w:pPr>
      <w:r>
        <w:t>NO_DATA: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such as access management policies, backup procedures, or physical security,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they are not theoretical risks.</w:t>
      </w:r>
    </w:p>
    <w:p>
      <w:pPr>
        <w:widowControl/>
        <w:spacing w:after="80"/>
      </w:pPr>
      <w:r>
        <w:rPr>
          <w:b/>
        </w:rPr>
        <w:t xml:space="preserve">Priority 2,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set at 10.40% of total breach magnitude, proportional to the IBM SA data decomposition. This component is only activated for ransomware-family incidents.</w:t>
      </w:r>
    </w:p>
    <w:p>
      <w:pPr>
        <w:pStyle w:val="ListParagraph"/>
        <w:widowControl/>
        <w:spacing w:after="40"/>
      </w:pPr>
      <w:r>
        <w:t>C5: Incident response,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the peak of the loss distribution; the single most probable annual loss outcome.</w:t>
      </w:r>
    </w:p>
    <w:p>
      <w:pPr>
        <w:pStyle w:val="ListParagraph"/>
        <w:widowControl/>
        <w:spacing w:after="40"/>
      </w:pPr>
      <w:r>
        <w:t>Median (P50), half of all simulated outcomes fall below this figure. Reasonable anchor for premium-rating calculations.</w:t>
      </w:r>
    </w:p>
    <w:p>
      <w:pPr>
        <w:pStyle w:val="ListParagraph"/>
        <w:widowControl/>
        <w:spacing w:after="40"/>
      </w:pPr>
      <w:r>
        <w:t>Severe event (P99 severity),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the next severity tier, aligned with the FSCA SAM (Solvency Assessment and Management) regime's catastrophe benchmark; reported under the 1-in-200 cover tier.</w:t>
      </w:r>
    </w:p>
    <w:p>
      <w:pPr>
        <w:pStyle w:val="ListParagraph"/>
        <w:widowControl/>
        <w:spacing w:after="40"/>
      </w:pPr>
      <w:r>
        <w:t>Catastrophic event (P99.6 severity),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RSI reduction of 0.05 to 0.09 per step. Significant security improvements that should be addressed within 30 days. Examples: deploying a WAF, implementing DMARC, resetting leaked credentials.</w:t>
      </w:r>
    </w:p>
    <w:p>
      <w:pPr>
        <w:pStyle w:val="ListParagraph"/>
        <w:widowControl/>
        <w:spacing w:after="40"/>
      </w:pPr>
      <w:r>
        <w:t>P3 (Medium):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what an attacker can learn from publicly available information about the target, (2) Weaponisation, how discovered vulnerabilities and leaked credentials could be combined into an attack toolkit, (3) Delivery &amp; Exploitation, the most likely attack vectors such as phishing with leaked credentials, exploiting unpatched services, or abusing misconfigured email authentication, and (4) Impact,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branded cover with target domain, scan date, and overall risk score gauge.</w:t>
      </w:r>
    </w:p>
    <w:p>
      <w:pPr>
        <w:pStyle w:val="ListParagraph"/>
        <w:widowControl/>
        <w:spacing w:after="40"/>
      </w:pPr>
      <w:r>
        <w:t>Executive Summary, high-level risk posture with key metrics (overall score, critical issues, breach count, credential exposure, estimated financial impact range).</w:t>
      </w:r>
    </w:p>
    <w:p>
      <w:pPr>
        <w:pStyle w:val="ListParagraph"/>
        <w:widowControl/>
        <w:spacing w:after="40"/>
      </w:pPr>
      <w:r>
        <w:t>Vulnerability Posture, simplified severity breakdown focusing on critical and high-severity findings only, with plain-language explanations.</w:t>
      </w:r>
    </w:p>
    <w:p>
      <w:pPr>
        <w:pStyle w:val="ListParagraph"/>
        <w:widowControl/>
        <w:spacing w:after="40"/>
      </w:pPr>
      <w:r>
        <w:t>Attacker's View, abbreviated kill chain narrative highlighting the most impactful attack paths.</w:t>
      </w:r>
    </w:p>
    <w:p>
      <w:pPr>
        <w:pStyle w:val="ListParagraph"/>
        <w:widowControl/>
        <w:spacing w:after="40"/>
      </w:pPr>
      <w:r>
        <w:t>Financial Impact Summary, RSI score, DBI score, and hybrid-model estimated loss range presented in a broker-friendly format with clear rand-value ranges.</w:t>
      </w:r>
    </w:p>
    <w:p>
      <w:pPr>
        <w:pStyle w:val="ListParagraph"/>
        <w:widowControl/>
        <w:spacing w:after="40"/>
      </w:pPr>
      <w:r>
        <w:t>'Why This Matters' Section,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No issues found or the configuration meets best-practice standards. No action required.</w:t>
      </w:r>
    </w:p>
    <w:p>
      <w:pPr>
        <w:pStyle w:val="ListParagraph"/>
        <w:widowControl/>
        <w:spacing w:after="40"/>
      </w:pPr>
      <w:r>
        <w:t>Amber circle: Minor issues or partial implementation detected. Improvement is recommended but the risk is moderate.</w:t>
      </w:r>
    </w:p>
    <w:p>
      <w:pPr>
        <w:pStyle w:val="ListParagraph"/>
        <w:widowControl/>
        <w:spacing w:after="40"/>
      </w:pPr>
      <w:r>
        <w:t>Red circle: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contains the traffic-light indicator, the checker name, and a one-line summary of the finding (e.g., 'SPF record is valid but could be stricter').</w:t>
      </w:r>
    </w:p>
    <w:p>
      <w:pPr>
        <w:pStyle w:val="ListParagraph"/>
        <w:widowControl/>
        <w:spacing w:after="40"/>
      </w:pPr>
      <w:r>
        <w:t>Data Table,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a plain-language paragraph explaining the significance of the findings for a non-technical reader. This section answers the question: 'Why should I care?'</w:t>
      </w:r>
    </w:p>
    <w:p>
      <w:pPr>
        <w:pStyle w:val="ListParagraph"/>
        <w:widowControl/>
        <w:spacing w:after="40"/>
      </w:pPr>
      <w:r>
        <w:t>'Recommended Actions',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including the actual passwords,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counts only (number of exposed accounts, infected devices, services). No identifiers.</w:t>
      </w:r>
    </w:p>
    <w:p>
      <w:pPr>
        <w:pStyle w:val="ListParagraph"/>
        <w:widowControl/>
        <w:spacing w:after="40"/>
      </w:pPr>
      <w:r>
        <w:t>Broker Summary: 2-3 partially-masked example accounts / services plus summarised counts. No passwords.</w:t>
      </w:r>
    </w:p>
    <w:p>
      <w:pPr>
        <w:pStyle w:val="ListParagraph"/>
        <w:widowControl/>
        <w:spacing w:after="40"/>
      </w:pPr>
      <w:r>
        <w:t>Full Technical Report: enumerated, partially-masked accounts, a per-service summary, infection dates, and stealer families. No passwords.</w:t>
      </w:r>
    </w:p>
    <w:p>
      <w:pPr>
        <w:pStyle w:val="ListParagraph"/>
        <w:widowControl/>
        <w:spacing w:after="40"/>
      </w:pPr>
      <w:r>
        <w:t>Encrypted Credential Export (on request):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demonstrating the findings are real, while an outsider cannot reconstruct them.</w:t>
      </w:r>
    </w:p>
    <w:p>
      <w:pPr>
        <w:widowControl/>
        <w:spacing w:after="80"/>
      </w:pPr>
      <w:r>
        <w:rPr>
          <w:b/>
        </w:rPr>
        <w:t xml:space="preserve">Export file format,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or to justify any uplift to the probability of breach / RSI,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Confirm the client's SIGNED CONSENT has been obtained, then record the authorisation in the export portal: tick the consent attestation, enter the authorising user, and optionally a consent reference (for example the signed-form ID). This is the authorisation gate and the FAIS / POPIA audit trail: the scanner writes an audit record of who authorised the export, when, for which domain, and whether the one-time link was later collected. Retain the signed consent form itself in your own records.</w:t>
      </w:r>
    </w:p>
    <w:p>
      <w:pPr>
        <w:pStyle w:val="ListParagraph"/>
        <w:widowControl/>
        <w:spacing w:after="40"/>
      </w:pPr>
      <w:r>
        <w:t>2. Obtain the client's age PUBLIC key (the client generates it,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without it the file cannot be opened.</w:t>
      </w:r>
    </w:p>
    <w:p>
      <w:pPr>
        <w:widowControl/>
        <w:spacing w:after="80"/>
      </w:pPr>
      <w:r>
        <w:rPr>
          <w:b/>
        </w:rPr>
        <w:t xml:space="preserve">Client guide,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treat it like any breach dump. Decrypt only on a secure workstation, action the password resets and MFA enrolment, then securely delete the file. The scanner itself never stores passwords, and none of the rendered reports (deck, broker summary, full report) or the interactive dashboard ever contain passwords. Leaked account identifiers are masked at every output boundary (the API, the dashboard, and every PDF); only this consented, encrypted export carries the unmasked detail.</w:t>
      </w:r>
    </w:p>
    <w:p>
      <w:pPr>
        <w:widowControl/>
        <w:spacing w:after="80"/>
      </w:pPr>
      <w:r>
        <w:rPr>
          <w:b/>
          <w:color w:val="003399"/>
        </w:rPr>
        <w:t xml:space="preserve">NOTE: </w:t>
      </w:r>
      <w:r>
        <w:t>Why public-key (age) over a shared password: with age, only the client's private key, which never leaves them,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v2.0: July 2026</w:t>
      </w:r>
      <w:r>
        <w:t xml:space="preserve"> Major revision.</w:t>
      </w:r>
    </w:p>
    <w:p>
      <w:pPr>
        <w:widowControl/>
        <w:spacing w:after="80"/>
      </w:pPr>
      <w:r>
        <w:t>This release brings the manual current with the scanner development delivered since the v1.0 initial release. The changes are listed below with the date each landed.</w:t>
      </w:r>
    </w:p>
    <w:p>
      <w:pPr>
        <w:pStyle w:val="ListParagraph"/>
        <w:widowControl/>
        <w:spacing w:after="40"/>
      </w:pPr>
      <w:r>
        <w:t>2026-07-27: Researched breach history now carries scoring weight, on RECENCY rather than count. The dated result supersedes the HIBP count in the same breach-history slot at the same weight (no double-count; HIBP retained as a floor), supplies the Data Breach Resilience recency component that previously depended on a HIBP date absent for almost every South African domain, and adds a repeat-victimisation factor to the Ransomware Susceptibility Index weighted by quarter through the first year, since the post-breach recovery window is itself the period of elevated risk. A scan that could not research the history reports it as UNASSESSED and contributes nothing, never as clean. The Exposure page gained a dedicated Breach History panel showing the verdict, the dated incidents with records and root cause, and the cited sources; the scan form shows whether the web-search key is live before a scan is run.</w:t>
      </w:r>
    </w:p>
    <w:p>
      <w:pPr>
        <w:pStyle w:val="ListParagraph"/>
        <w:widowControl/>
        <w:spacing w:after="40"/>
      </w:pPr>
      <w:r>
        <w:t>2026-07-27: Web-corroborated breach discovery added to the breach-history checker (Section 4.6.1). Because HIBP's breaches-by-domain catalogue is thin, the scanner now corroborates breaches from dated open-source intelligence (reputable news and ransomware leak-site listings) and then RESEARCHES the question with a deep, multi-provider answer engine that reads the source pages, iterates on gaps, and cites its sources. This recovers the date a breach actually occurred, the records affected and the root cause, none of which HIBP or a headline scrape provides. Conservative by design and degrades gracefully to a deterministic verdict when the research layer is unavailable.</w:t>
      </w:r>
    </w:p>
    <w:p>
      <w:pPr>
        <w:pStyle w:val="ListParagraph"/>
        <w:widowControl/>
        <w:spacing w:after="40"/>
      </w:pPr>
      <w:r>
        <w:t>2026-07-20: Sensitive-credential handling hardened end to end. Leaked account identifiers are now masked at every serving boundary (the API, the interactive dashboard, and every PDF), not only in the report tiers. The encrypted credential export (Section 6.4) was wired to its authorisation flow: a consent attestation plus the authorising user are required, the file is encrypted to the client's key and delivered strictly as a server-issued one-time link that expires and is deleted on first download, and every authorised export is written to an audit trail.</w:t>
      </w:r>
    </w:p>
    <w:p>
      <w:pPr>
        <w:pStyle w:val="ListParagraph"/>
        <w:widowControl/>
        <w:spacing w:after="40"/>
      </w:pPr>
      <w:r>
        <w:t>2026-07-06: Retired the legacy Render free-tier deployment; the Google Cloud VM is now the sole production instance. The scanner's public self-identification (User-Agent and scanner-info page) was updated to the VM and its single static outbound IP.</w:t>
      </w:r>
    </w:p>
    <w:p>
      <w:pPr>
        <w:pStyle w:val="ListParagraph"/>
        <w:widowControl/>
        <w:spacing w:after="40"/>
      </w:pPr>
      <w:r>
        <w:t>2026-07-03: Reconciled the manual against current scanner behaviour: dual-source Certificate Transparency subdomain enumeration (crt.sh and certspotter, with a low-coverage flag), CVE version-gating disclosure (CVEs shown as 'potential, unconfirmed' where the exact software version is not fingerprinted), and the production endpoint moved to the Google Cloud VM at veilguard.phishield.com/scanner. Includes a document-wide readability and punctuation pass.</w:t>
      </w:r>
    </w:p>
    <w:p>
      <w:pPr>
        <w:pStyle w:val="ListParagraph"/>
        <w:widowControl/>
        <w:spacing w:after="40"/>
      </w:pPr>
      <w:r>
        <w:t>2026-06-08: Catastrophe-model mid-market calibration: a revenue-band taper and a POPIA/ECTA-scoped regulatory fine floor, with cyber-band, SPF/DMARC and availability frequency and severity refinements.</w:t>
      </w:r>
    </w:p>
    <w:p>
      <w:pPr>
        <w:pStyle w:val="ListParagraph"/>
        <w:widowControl/>
        <w:spacing w:after="40"/>
      </w:pPr>
      <w:r>
        <w:t>2026-06-05: Catastrophe-model redesign and FAIR reporting-card pass, with email-security accuracy improvements.</w:t>
      </w:r>
    </w:p>
    <w:p>
      <w:pPr>
        <w:pStyle w:val="ListParagraph"/>
        <w:widowControl/>
        <w:spacing w:after="40"/>
      </w:pPr>
      <w:r>
        <w:t>2026-06-02: Credential-exposure correlation now counts password-bearing records specifically; the encrypted export gained recency clustering and leak-reference confidence; the manual was brought current with the Waves 1 to 6 behavioural changes.</w:t>
      </w:r>
    </w:p>
    <w:p>
      <w:pPr>
        <w:pStyle w:val="ListParagraph"/>
        <w:widowControl/>
        <w:spacing w:after="40"/>
      </w:pPr>
      <w:r>
        <w:t>2026-06-01: Added the sensitive-credential disclosure tiers and the encrypted credential export (Section 6.4).</w:t>
      </w:r>
    </w:p>
    <w:p>
      <w:pPr>
        <w:pStyle w:val="ListParagraph"/>
        <w:widowControl/>
        <w:spacing w:after="40"/>
      </w:pPr>
      <w:r>
        <w:t>2026-05-29: Documented RDP and origin-discovery handling, the B2C and PCI regulatory flags, and the P50 headline correction.</w:t>
      </w:r>
    </w:p>
    <w:p>
      <w:pPr>
        <w:pStyle w:val="ListParagraph"/>
        <w:widowControl/>
        <w:spacing w:after="40"/>
      </w:pPr>
      <w:r>
        <w:t>2026-05-28: Added the Hudson Rock, S-4 and S-5 cross-correlation, scoped as reporting-only so it does not double-count in scoring.</w:t>
      </w:r>
    </w:p>
    <w:p>
      <w:pPr>
        <w:pStyle w:val="ListParagraph"/>
        <w:widowControl/>
        <w:spacing w:after="40"/>
      </w:pPr>
      <w:r>
        <w:t>2026-05-27: Added the supply-chain checker layer (related domains, third-party JavaScript, exposed dependency manifests, email-vendor surface, vendor-breach correlation, and CMS plugin surface); removed the earlier catastrophe-tail double-count; folded in the Q&amp;A audit fixes.</w:t>
      </w:r>
    </w:p>
    <w:p>
      <w:pPr>
        <w:pStyle w:val="ListParagraph"/>
        <w:widowControl/>
        <w:spacing w:after="40"/>
      </w:pPr>
      <w:r>
        <w:t>2026-05-18: Documented the WAF partial-coverage adjustment.</w:t>
      </w:r>
    </w:p>
    <w:p>
      <w:pPr>
        <w:pStyle w:val="ListParagraph"/>
        <w:widowControl/>
        <w:spacing w:after="40"/>
      </w:pPr>
      <w:r>
        <w:t>2026-05-15: FAIR financial-impact overhaul: 1-in-50, 1-in-100 and 1-in-150 return-period worst-case views, the sector regulatory catastrophe stack, and FAIS-safe 'Loss Exposure Scenarios' disclosure. Added the records-based Cat Modelling Validity Notice, peer benchmarking with a 1.0 to 10.0 peer rating, the WAF-friendly HTTP architecture, and the auto-detect to broker to cat-stack input flow.</w:t>
      </w:r>
    </w:p>
    <w:p>
      <w:pPr>
        <w:pStyle w:val="ListParagraph"/>
        <w:widowControl/>
        <w:spacing w:after="40"/>
      </w:pPr>
      <w:r>
        <w:t>2026-04-20: Regenerated for the hybrid financial-impact model, sub-industry selection, and GDPR and PCI inputs.</w:t>
      </w:r>
    </w:p>
    <w:p>
      <w:pPr>
        <w:pStyle w:val="ListParagraph"/>
        <w:widowControl/>
        <w:spacing w:after="40"/>
      </w:pPr>
      <w:r>
        <w:t>2026-04-16: Hybrid financial-impact model engine rewrite.</w:t>
      </w:r>
    </w:p>
    <w:p>
      <w:pPr>
        <w:widowControl/>
        <w:spacing w:after="80"/>
      </w:pPr>
      <w:r>
        <w:rPr>
          <w:b/>
        </w:rPr>
        <w:t>v1.0: April 2026</w:t>
      </w:r>
      <w:r>
        <w:t xml:space="preserve"> 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