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2026-05-16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</w:t>
      </w:r>
      <w:r>
        <w:rPr>
          <w:b/>
        </w:rPr>
        <w:t>Verified 2026-05-31 via `/authenticate/info` + IntelX docs:</w:t>
      </w:r>
    </w:p>
    <w:p>
      <w:r>
        <w:t xml:space="preserve">the free tier's </w:t>
      </w:r>
      <w:r>
        <w:rPr>
          <w:rFonts w:ascii="Consolas" w:hAnsi="Consolas"/>
          <w:sz w:val="18"/>
        </w:rPr>
        <w:t>/intelligent/search</w:t>
      </w:r>
      <w:r>
        <w:t xml:space="preserve"> cap is **</w:t>
      </w:r>
      <w:r>
        <w:rPr>
          <w:rFonts w:ascii="Consolas" w:hAnsi="Consolas"/>
          <w:sz w:val="18"/>
        </w:rPr>
        <w:t>CreditMax = 50</w:t>
      </w:r>
      <w:r>
        <w:t xml:space="preserve"> per DAY, reset</w:t>
      </w:r>
    </w:p>
    <w:p>
      <w:r>
        <w:t>at midnight UTC** (NOT ~500 — that was a wrong code comment), 1 credit/scan,</w:t>
      </w:r>
    </w:p>
    <w:p>
      <w:r>
        <w:rPr>
          <w:b/>
        </w:rPr>
        <w:t>max 3 concurrent searches</w:t>
      </w:r>
      <w:r>
        <w:t>.</w:t>
      </w:r>
    </w:p>
    <w:p>
      <w:r>
        <w:t xml:space="preserve">Planning implication: the cohort runs at </w:t>
      </w:r>
      <w:r>
        <w:rPr>
          <w:b/>
        </w:rPr>
        <w:t>~25-30 scans/day</w:t>
      </w:r>
      <w:r>
        <w:t xml:space="preserve"> (§3), which fits</w:t>
      </w:r>
    </w:p>
    <w:p>
      <w:r>
        <w:rPr>
          <w:i/>
        </w:rPr>
        <w:t>under</w:t>
      </w:r>
      <w:r>
        <w:t xml:space="preserve"> 50/day with modest headroom — so the free daily tier is **borderline-</w:t>
      </w:r>
    </w:p>
    <w:p>
      <w:r>
        <w:t>viable for the steady cohort rate**, NOT "10× too small" as first thought.</w:t>
      </w:r>
    </w:p>
    <w:p>
      <w:r>
        <w:t>BUT: zero burst headroom, the 3-concurrent cap throttles throughput, and any</w:t>
      </w:r>
    </w:p>
    <w:p>
      <w:r>
        <w:t>broker ad-hoc scans eat into the same 50. So a **paid replacement</w:t>
      </w:r>
    </w:p>
    <w:p>
      <w:r>
        <w:t>(Snusbase / LeakCheck Pro / SpyCloud) is still recommended** for safety +</w:t>
      </w:r>
    </w:p>
    <w:p>
      <w:r>
        <w:t>throughput + always-on use, but it is no longer an emergency blocker. Avoid</w:t>
      </w:r>
    </w:p>
    <w:p>
      <w:r>
        <w:t>burning credits on test scans (</w:t>
      </w:r>
      <w:r>
        <w:rPr>
          <w:rFonts w:ascii="Consolas" w:hAnsi="Consolas"/>
          <w:sz w:val="18"/>
        </w:rPr>
        <w:t>skip_intelx:true</w:t>
      </w:r>
      <w:r>
        <w:t>; the smoke test is already</w:t>
      </w:r>
    </w:p>
    <w:p>
      <w:r>
        <w:t>credit-free).</w:t>
      </w:r>
    </w:p>
    <w:p>
      <w:pPr>
        <w:pStyle w:val="ListBullet"/>
      </w:pPr>
      <w:r>
        <w:rPr>
          <w:b/>
        </w:rPr>
        <w:t>Action (before 2026-06-03 calibration test):</w:t>
      </w:r>
      <w:r>
        <w:t xml:space="preserve"> add </w:t>
      </w:r>
      <w:r>
        <w:rPr>
          <w:rFonts w:ascii="Consolas" w:hAnsi="Consolas"/>
          <w:sz w:val="18"/>
        </w:rPr>
        <w:t>INTELX_API_KEY</w:t>
      </w:r>
      <w:r>
        <w:t xml:space="preserve"> to</w:t>
      </w:r>
    </w:p>
    <w:p>
      <w:r>
        <w:t xml:space="preserve">  </w:t>
      </w:r>
      <w:r>
        <w:rPr>
          <w:b/>
        </w:rPr>
        <w:t>Render</w:t>
      </w:r>
      <w:r>
        <w:t xml:space="preserve"> (it's currently set locally but NOT on Render — that's why prod</w:t>
      </w:r>
    </w:p>
    <w:p>
      <w:r>
        <w:t xml:space="preserve">  has no IntelX/forum signal while local does). This makes the credential</w:t>
      </w:r>
    </w:p>
    <w:p>
      <w:r>
        <w:t xml:space="preserve">  correlation's signal-4 active on prod for Wednesday's supply-chain</w:t>
      </w:r>
    </w:p>
    <w:p>
      <w:r>
        <w:t xml:space="preserve">  calibration run.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Same reassigned-IP risk as the RDP/origin case.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  <w:r>
              <w:rPr>
                <w:sz w:val="19"/>
              </w:rPr>
              <w:t xml:space="preserve"> (ticket, NOT done)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Two tweaks to </w:t>
            </w:r>
            <w:r>
              <w:rPr>
                <w:rFonts w:ascii="Consolas" w:hAnsi="Consolas"/>
                <w:sz w:val="19"/>
              </w:rPr>
              <w:t>CredentialRiskClassifier</w:t>
            </w:r>
            <w:r>
              <w:rPr>
                <w:sz w:val="19"/>
              </w:rPr>
              <w:t xml:space="preserve">, both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(empirical anchors + sign-off, per the scoring-change rule): (1) the IntelX paste/dark-web deductions are </w:t>
            </w:r>
            <w:r>
              <w:rPr>
                <w:b/>
                <w:sz w:val="19"/>
              </w:rPr>
              <w:t>per-mention and uncapped</w:t>
            </w:r>
            <w:r>
              <w:rPr>
                <w:sz w:val="19"/>
              </w:rPr>
              <w:t xml:space="preserve"> (40 pastes → −120, floored at 0) — can out-deduct Hudson Rock's flat −50 in the raw 0-100 score even though HR sets the higher </w:t>
            </w:r>
            <w:r>
              <w:rPr>
                <w:i/>
                <w:sz w:val="19"/>
              </w:rPr>
              <w:t>level</w:t>
            </w:r>
            <w:r>
              <w:rPr>
                <w:sz w:val="19"/>
              </w:rPr>
              <w:t xml:space="preserve">; add a cap. (2) </w:t>
            </w:r>
            <w:r>
              <w:rPr>
                <w:b/>
                <w:sz w:val="19"/>
              </w:rPr>
              <w:t>Date-gate the HR CRITICAL</w:t>
            </w:r>
            <w:r>
              <w:rPr>
                <w:sz w:val="19"/>
              </w:rPr>
              <w:t xml:space="preserve"> so a </w:t>
            </w:r>
            <w:r>
              <w:rPr>
                <w:i/>
                <w:sz w:val="19"/>
              </w:rPr>
              <w:t>stale</w:t>
            </w:r>
            <w:r>
              <w:rPr>
                <w:sz w:val="19"/>
              </w:rPr>
              <w:t xml:space="preserve"> infostealer infection (old </w:t>
            </w:r>
            <w:r>
              <w:rPr>
                <w:rFonts w:ascii="Consolas" w:hAnsi="Consolas"/>
                <w:sz w:val="19"/>
              </w:rPr>
              <w:t>last_compromised</w:t>
            </w:r>
            <w:r>
              <w:rPr>
                <w:sz w:val="19"/>
              </w:rPr>
              <w:t xml:space="preserve">) doesn't auto-force CRITICAL — use the new </w:t>
            </w:r>
            <w:r>
              <w:rPr>
                <w:rFonts w:ascii="Consolas" w:hAnsi="Consolas"/>
                <w:sz w:val="19"/>
              </w:rPr>
              <w:t>days_since_compromise</w:t>
            </w:r>
            <w:r>
              <w:rPr>
                <w:sz w:val="19"/>
              </w:rPr>
              <w:t xml:space="preserve">. The Credential Exposure Correlation (reporting) already does this date-anchoring; this would align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with it.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