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 Internet-wide port and service scanning data, vulnerability lookups</w:t>
      </w:r>
    </w:p>
    <w:p>
      <w:pPr>
        <w:pStyle w:val="ListParagraph"/>
        <w:widowControl/>
        <w:spacing w:after="40"/>
      </w:pPr>
      <w:r>
        <w:t>Have I Been Pwned (HIBP) -- Breach database for domain-level email exposure</w:t>
      </w:r>
    </w:p>
    <w:p>
      <w:pPr>
        <w:pStyle w:val="ListParagraph"/>
        <w:widowControl/>
        <w:spacing w:after="40"/>
      </w:pPr>
      <w:r>
        <w:t>Dehashed -- Credential leak database with password hash and plaintext detection</w:t>
      </w:r>
    </w:p>
    <w:p>
      <w:pPr>
        <w:pStyle w:val="ListParagraph"/>
        <w:widowControl/>
        <w:spacing w:after="40"/>
      </w:pPr>
      <w:r>
        <w:t>VirusTotal -- Malware, phishing, and reputation intelligence</w:t>
      </w:r>
    </w:p>
    <w:p>
      <w:pPr>
        <w:pStyle w:val="ListParagraph"/>
        <w:widowControl/>
        <w:spacing w:after="40"/>
      </w:pPr>
      <w:r>
        <w:t>SecurityTrails -- Historical DNS records, domain ownership changes</w:t>
      </w:r>
    </w:p>
    <w:p>
      <w:pPr>
        <w:pStyle w:val="ListParagraph"/>
        <w:widowControl/>
        <w:spacing w:after="40"/>
      </w:pPr>
      <w:r>
        <w:t>IntelX (Intelligence X) -- Dark-web and paste-site exposure monitoring</w:t>
      </w:r>
    </w:p>
    <w:p>
      <w:pPr>
        <w:pStyle w:val="ListParagraph"/>
        <w:widowControl/>
        <w:spacing w:after="40"/>
      </w:pPr>
      <w:r>
        <w:t>OSV.dev / NVD -- Open-source vulnerability database for CVE enrichment</w:t>
      </w:r>
    </w:p>
    <w:p>
      <w:pPr>
        <w:pStyle w:val="ListParagraph"/>
        <w:widowControl/>
        <w:spacing w:after="40"/>
      </w:pPr>
      <w:r>
        <w:t>HudsonRock -- Infostealer malware credential compromise data</w:t>
      </w:r>
    </w:p>
    <w:p>
      <w:pPr>
        <w:pStyle w:val="ListParagraph"/>
        <w:widowControl/>
        <w:spacing w:after="40"/>
      </w:pPr>
      <w:r>
        <w:t>Certificate Transparency Logs -- Subdomain enumeration via issued certificates</w:t>
      </w:r>
    </w:p>
    <w:p>
      <w:pPr>
        <w:pStyle w:val="ListParagraph"/>
        <w:widowControl/>
        <w:spacing w:after="40"/>
      </w:pPr>
      <w:r>
        <w:t>Multiple DNSBL providers --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https://phishield-scanner.onrender.com. This is the hosted version used by underwriters and brokers for day-to-day scanning. It is deployed on Render and is accessible from any internet-connected device.</w:t>
      </w:r>
    </w:p>
    <w:p>
      <w:pPr>
        <w:widowControl/>
        <w:spacing w:after="80"/>
      </w:pPr>
      <w:r>
        <w:rPr>
          <w:b/>
          <w:color w:val="003399"/>
        </w:rPr>
        <w:t xml:space="preserve">NOTE: </w:t>
      </w:r>
      <w:r>
        <w:t>The production instance may take 30-60 seconds to respond on the first request if it has been idle, because the Render free tier spins down inactive services. Subsequent requests will respond immediately.</w:t>
      </w:r>
    </w:p>
    <w:p>
      <w:pPr>
        <w:keepNext/>
        <w:widowControl/>
        <w:spacing w:after="80"/>
      </w:pPr>
      <w:r>
        <w:rPr>
          <w:b/>
          <w:color w:val="008000"/>
        </w:rPr>
        <w:t xml:space="preserve">TIP: </w:t>
      </w:r>
      <w:r>
        <w:t>Bookmark the production URL for quick access. If you experience slow loading, simply wait for the initial spin-up to complete and then refresh the page.</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 A spinning indicator shows that the checker is currently executing. Multiple checkers run concurrently during Phase 2a.</w:t>
      </w:r>
    </w:p>
    <w:p>
      <w:pPr>
        <w:pStyle w:val="ListParagraph"/>
        <w:widowControl/>
        <w:spacing w:after="40"/>
      </w:pPr>
      <w:r>
        <w:t>Done -- A green tick indicates successful completion. The checker's score or grade appears next to its name.</w:t>
      </w:r>
    </w:p>
    <w:p>
      <w:pPr>
        <w:pStyle w:val="ListParagraph"/>
        <w:widowControl/>
        <w:spacing w:after="40"/>
      </w:pPr>
      <w:r>
        <w:t>Error --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1 -- 1 000:  Score 100.  Among the most visited sites on the internet.</w:t>
      </w:r>
    </w:p>
    <w:p>
      <w:pPr>
        <w:pStyle w:val="ListParagraph"/>
        <w:widowControl/>
        <w:spacing w:after="40"/>
      </w:pPr>
      <w:r>
        <w:t>Rank 1 001 -- 10 000:  Score 90.  High-traffic, well-known domain.</w:t>
      </w:r>
    </w:p>
    <w:p>
      <w:pPr>
        <w:pStyle w:val="ListParagraph"/>
        <w:widowControl/>
        <w:spacing w:after="40"/>
      </w:pPr>
      <w:r>
        <w:t>Rank 10 001 -- 100 000:  Score 70.  Moderate traffic, established online presence.</w:t>
      </w:r>
    </w:p>
    <w:p>
      <w:pPr>
        <w:pStyle w:val="ListParagraph"/>
        <w:widowControl/>
        <w:spacing w:after="40"/>
      </w:pPr>
      <w:r>
        <w:t>Rank 100 001 -- 1 000 000: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85--94):  Very good. One or two minor items may be missing (for example, OCSP stapling or CAA records) but overall configuration is strong.</w:t>
      </w:r>
    </w:p>
    <w:p>
      <w:pPr>
        <w:pStyle w:val="ListParagraph"/>
        <w:widowControl/>
        <w:spacing w:after="40"/>
      </w:pPr>
      <w:r>
        <w:t>Grade B (score 70--84):  Acceptable. The certificate is valid and modern TLS is supported, but there may be a deprecated TLS version still enabled or HSTS may be missing. Remediation is recommended.</w:t>
      </w:r>
    </w:p>
    <w:p>
      <w:pPr>
        <w:pStyle w:val="ListParagraph"/>
        <w:widowControl/>
        <w:spacing w:after="40"/>
      </w:pPr>
      <w:r>
        <w:t>Grade C (score 55--69):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40--54):  Poor. Serious configuration weaknesses are present. This may include an expiring certificate combined with deprecated protocols and missing HSTS.</w:t>
      </w:r>
    </w:p>
    <w:p>
      <w:pPr>
        <w:pStyle w:val="ListParagraph"/>
        <w:widowControl/>
        <w:spacing w:after="40"/>
      </w:pPr>
      <w:r>
        <w:t>Grade F (score 0--39):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pPr>
        <w:widowControl/>
        <w:spacing w:after="80"/>
      </w:pPr>
      <w:r>
        <w:t>Headers evaluated and their weights:</w:t>
      </w:r>
    </w:p>
    <w:p>
      <w:pPr>
        <w:widowControl/>
        <w:spacing w:after="80"/>
      </w:pPr>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 Allows inline scripts and event handlers. This effectively defeats XSS protection, because an attacker who can inject HTML can also inject inline script tags.</w:t>
      </w:r>
    </w:p>
    <w:p>
      <w:pPr>
        <w:pStyle w:val="ListParagraph"/>
        <w:widowControl/>
        <w:spacing w:after="40"/>
      </w:pPr>
      <w:r>
        <w:t>'unsafe-eval' -- Allows the use of eval(), new Function(), and similar dynamic code execution methods. Attackers frequently exploit these functions to execute injected payloads.</w:t>
      </w:r>
    </w:p>
    <w:p>
      <w:pPr>
        <w:pStyle w:val="ListParagraph"/>
        <w:widowControl/>
        <w:spacing w:after="40"/>
      </w:pPr>
      <w:r>
        <w:t>Wildcard (*) in script-src -- Permits scripts from any domain. An attacker can host a malicious script on any server and it will be allowed by the policy.</w:t>
      </w:r>
    </w:p>
    <w:p>
      <w:pPr>
        <w:pStyle w:val="ListParagraph"/>
        <w:widowControl/>
        <w:spacing w:after="40"/>
      </w:pPr>
      <w:r>
        <w:t>data: URIs in script-src --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 The fallback directive. If this is missing and a specific directive is also missing, the browser applies no restriction for that resource type.</w:t>
      </w:r>
    </w:p>
    <w:p>
      <w:pPr>
        <w:pStyle w:val="ListParagraph"/>
        <w:widowControl/>
        <w:spacing w:after="40"/>
      </w:pPr>
      <w:r>
        <w:t>script-src -- Controls where JavaScript can be loaded from. This is the most important directive for preventing XSS.</w:t>
      </w:r>
    </w:p>
    <w:p>
      <w:pPr>
        <w:pStyle w:val="ListParagraph"/>
        <w:widowControl/>
        <w:spacing w:after="40"/>
      </w:pPr>
      <w:r>
        <w:t>frame-ancestors -- Controls which sites can embed this page in a frame. This is the modern replacement for X-Frame-Options.</w:t>
      </w:r>
    </w:p>
    <w:p>
      <w:pPr>
        <w:pStyle w:val="ListParagraph"/>
        <w:widowControl/>
        <w:spacing w:after="40"/>
      </w:pPr>
      <w:r>
        <w:t>object-src -- Controls where plugins (Flash, Java applets) can be loaded from. Setting this to 'none' blocks legacy plugin-based attacks.</w:t>
      </w:r>
    </w:p>
    <w:p>
      <w:pPr>
        <w:pStyle w:val="ListParagraph"/>
        <w:widowControl/>
        <w:spacing w:after="40"/>
      </w:pPr>
      <w:r>
        <w:t>base-uri --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pPr>
        <w:widowControl/>
        <w:spacing w:after="80"/>
      </w:pPr>
      <w:r>
        <w:t>The scanner recognises the following WAF and protection services:</w:t>
      </w:r>
    </w:p>
    <w:p>
      <w:pPr>
        <w:pStyle w:val="ListParagraph"/>
        <w:widowControl/>
        <w:spacing w:after="40"/>
      </w:pPr>
      <w:r>
        <w:t>Cloudflare -- Detected via cf-ray header, cf-cache-status header, and related cookies.</w:t>
      </w:r>
    </w:p>
    <w:p>
      <w:pPr>
        <w:pStyle w:val="ListParagraph"/>
        <w:widowControl/>
        <w:spacing w:after="40"/>
      </w:pPr>
      <w:r>
        <w:t>AWS WAF / CloudFront -- Detected via x-amz-cf-id header, x-amzn-requestid header, and AWS load-balancer cookies.</w:t>
      </w:r>
    </w:p>
    <w:p>
      <w:pPr>
        <w:pStyle w:val="ListParagraph"/>
        <w:widowControl/>
        <w:spacing w:after="40"/>
      </w:pPr>
      <w:r>
        <w:t>Imperva / Incapsula -- Detected via x-iinfo header, x-cdn header, and incapsula session cookies.</w:t>
      </w:r>
    </w:p>
    <w:p>
      <w:pPr>
        <w:pStyle w:val="ListParagraph"/>
        <w:widowControl/>
        <w:spacing w:after="40"/>
      </w:pPr>
      <w:r>
        <w:t>Akamai -- Detected via x-akamai-transformed header and Akamai bot-management cookies.</w:t>
      </w:r>
    </w:p>
    <w:p>
      <w:pPr>
        <w:pStyle w:val="ListParagraph"/>
        <w:widowControl/>
        <w:spacing w:after="40"/>
      </w:pPr>
      <w:r>
        <w:t>Sucuri -- Detected via x-sucuri-id header, x-sucuri-cache header, and body content.</w:t>
      </w:r>
    </w:p>
    <w:p>
      <w:pPr>
        <w:pStyle w:val="ListParagraph"/>
        <w:widowControl/>
        <w:spacing w:after="40"/>
      </w:pPr>
      <w:r>
        <w:t>F5 BIG-IP ASM -- Detected via proprietary headers and F5 session cookies.</w:t>
      </w:r>
    </w:p>
    <w:p>
      <w:pPr>
        <w:pStyle w:val="ListParagraph"/>
        <w:widowControl/>
        <w:spacing w:after="40"/>
      </w:pPr>
      <w:r>
        <w:t>Barracuda --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 Monitor only. Failing messages are still delivered. This is a starting point for collecting data but provides no protection.</w:t>
      </w:r>
    </w:p>
    <w:p>
      <w:pPr>
        <w:pStyle w:val="ListParagraph"/>
        <w:widowControl/>
        <w:spacing w:after="40"/>
      </w:pPr>
      <w:r>
        <w:t>quarantine — Failing messages are sent to the recipient’s spam or junk folder. Provides moderate protection.</w:t>
      </w:r>
    </w:p>
    <w:p>
      <w:pPr>
        <w:pStyle w:val="ListParagraph"/>
        <w:widowControl/>
        <w:spacing w:after="40"/>
      </w:pPr>
      <w:r>
        <w:t>reject —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 A search and analytics engine that often contains indexed copies of sensitive business data. Exposed Elasticsearch clusters are a leading cause of large-scale data leaks.</w:t>
      </w:r>
    </w:p>
    <w:p>
      <w:pPr>
        <w:pStyle w:val="ListParagraph"/>
        <w:widowControl/>
        <w:spacing w:after="40"/>
      </w:pPr>
      <w:r>
        <w:t>PostgreSQL (port 5432) — A relational database that, if internet-facing, is subject to brute-force password attacks and exploitation of known vulnerabilities.</w:t>
      </w:r>
    </w:p>
    <w:p>
      <w:pPr>
        <w:pStyle w:val="ListParagraph"/>
        <w:widowControl/>
        <w:spacing w:after="40"/>
      </w:pPr>
      <w:r>
        <w:t>Microsoft SQL Server (port 1433) —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 A document-oriented database that exposes an HTTP API. Default configurations may allow unauthenticated read and write access to all databases.</w:t>
      </w:r>
    </w:p>
    <w:p>
      <w:pPr>
        <w:pStyle w:val="ListParagraph"/>
        <w:widowControl/>
        <w:spacing w:after="40"/>
      </w:pPr>
      <w:r>
        <w:t>MySQL (port 3306) —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 The CDN absorbs volumetric attacks that would overwhelm your origin server, maintaining availability during an attack.</w:t>
      </w:r>
    </w:p>
    <w:p>
      <w:pPr>
        <w:pStyle w:val="ListParagraph"/>
        <w:widowControl/>
        <w:spacing w:after="40"/>
      </w:pPr>
      <w:r>
        <w:t>Origin Masking — The CDN hides your actual server IP address, making it significantly harder for attackers to target your infrastructure directly.</w:t>
      </w:r>
    </w:p>
    <w:p>
      <w:pPr>
        <w:pStyle w:val="ListParagraph"/>
        <w:widowControl/>
        <w:spacing w:after="40"/>
      </w:pPr>
      <w:r>
        <w:t>Web Application Firewall (WAF) — Many CDN providers include a WAF that filters common web attacks (SQL injection, cross-site scripting) before they reach your application.</w:t>
      </w:r>
    </w:p>
    <w:p>
      <w:pPr>
        <w:pStyle w:val="ListParagraph"/>
        <w:widowControl/>
        <w:spacing w:after="40"/>
      </w:pPr>
      <w:r>
        <w:t>Performance —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your public IP addresses. An exposed RDP service is rated as a critical finding because automated attack tools continuously scan the entire internet for open RDP, and compromised RDP credentials are bought and sold on criminal marketplaces.</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 this is a typical result for established businesses. The breach names, dates, and exposed data types are listed in the report.</w:t>
      </w:r>
    </w:p>
    <w:p>
      <w:pPr>
        <w:pStyle w:val="ListParagraph"/>
        <w:widowControl/>
        <w:spacing w:after="40"/>
      </w:pPr>
      <w:r>
        <w:t>Data classes exposed: Email addresses, Passwords, Names, Phone numbers — the more sensitive data classes present, the higher the risk to the organisation.</w:t>
      </w:r>
    </w:p>
    <w:p>
      <w:pPr>
        <w:pStyle w:val="ListParagraph"/>
        <w:widowControl/>
        <w:spacing w:after="40"/>
      </w:pPr>
      <w:r>
        <w:t>Most recent breach: 2024-01-15 —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five major blacklists: Spamhaus ZEN (zen.spamhaus.org), SpamCop (bl.spamcop.net), SORBS (dnsbl.sorbs.net), Barracuda (b.barracudacentral.org), and UCEProtect (dnsbl-1.uceprotect.net). For domain-based checks, it queries Spamhaus DBL (dbl.spamhaus.org) and URIBL (uribl.com). A successful DNS resolution means the IP or domain is listed.</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 this is the most common single listing and indicates the IP has been flagged for spam or malware activity.</w:t>
      </w:r>
    </w:p>
    <w:p>
      <w:pPr>
        <w:pStyle w:val="ListParagraph"/>
        <w:widowControl/>
        <w:spacing w:after="40"/>
      </w:pPr>
      <w:r>
        <w:t>Listed on dnsbl.sorbs.net — SORBS listings often indicate the IP is on a dynamic/residential range or has been an open relay.</w:t>
      </w:r>
    </w:p>
    <w:p>
      <w:pPr>
        <w:pStyle w:val="ListParagraph"/>
        <w:widowControl/>
        <w:spacing w:after="40"/>
      </w:pPr>
      <w:r>
        <w:t>No listings found —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exists (a server that returns 403 on /.env has admitted the file is there, even if it is access-controlled). Non-critical paths only flag on HTTP 200.</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 HTTP 200 (CRITICAL): The environment file is publicly readable. This typically exposes database host, username, password, API keys, and application secrets.</w:t>
      </w:r>
    </w:p>
    <w:p>
      <w:pPr>
        <w:pStyle w:val="ListParagraph"/>
        <w:widowControl/>
        <w:spacing w:after="40"/>
      </w:pPr>
      <w:r>
        <w:t>/wp-admin — HTTP 200: The WordPress administration panel is accessible from the public internet without IP restriction.</w:t>
      </w:r>
    </w:p>
    <w:p>
      <w:pPr>
        <w:pStyle w:val="ListParagraph"/>
        <w:widowControl/>
        <w:spacing w:after="40"/>
      </w:pPr>
      <w:r>
        <w:t>/server-status — HTTP 200 (MEDIUM): Apache mod_status is enabled, leaking active connections, client IPs, and request URLs.</w:t>
      </w:r>
    </w:p>
    <w:p>
      <w:pPr>
        <w:pStyle w:val="ListParagraph"/>
        <w:widowControl/>
        <w:spacing w:after="40"/>
      </w:pPr>
      <w:r>
        <w:t>/.git/HEAD — HTTP 403: The Git repository metadata exists on the server. While blocked, its presence confirms a deployment practice that may expose source code if misconfigured.</w:t>
      </w:r>
    </w:p>
    <w:p>
      <w:pPr>
        <w:widowControl/>
        <w:spacing w:after="80"/>
      </w:pPr>
      <w:r>
        <w:rPr>
          <w:b/>
          <w:color w:val="B40000"/>
        </w:rPr>
        <w:t xml:space="preserve">WARNING: </w:t>
      </w:r>
      <w:r>
        <w:t>An exposed .env file is one of the most critical findings the scanner can produce. It should be treated as an active compromise —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pPr>
        <w:widowControl/>
        <w:spacing w:after="80"/>
      </w:pPr>
      <w:r>
        <w:rPr>
          <w:b/>
        </w:rPr>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pPr>
        <w:widowControl/>
        <w:spacing w:after="80"/>
      </w:pPr>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 endpoint unclaimed. An attacker can register this GitHub Pages repository and serve content on the subdomain.</w:t>
      </w:r>
    </w:p>
    <w:p>
      <w:pPr>
        <w:pStyle w:val="ListParagraph"/>
        <w:widowControl/>
        <w:spacing w:after="40"/>
      </w:pPr>
      <w:r>
        <w:t>vpn.example.com, owa.example.com —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 remove the dangling CNAME record from DNS —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 CVSS 9.8 (CRITICAL) — CISA KEV: Yes — EPSS: 94.2% —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 corporate addresses represent direct risk to the organisation.</w:t>
      </w:r>
    </w:p>
    <w:p>
      <w:pPr>
        <w:pStyle w:val="ListParagraph"/>
        <w:widowControl/>
        <w:spacing w:after="40"/>
      </w:pPr>
      <w:r>
        <w:t>Breach sources: Collection #1, LinkedIn 2012, Adobe, Exploit.in, Anti Public Combo List —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 credentials are actively being sold on dark web markets. Immediate incident response required.</w:t>
      </w:r>
    </w:p>
    <w:p>
      <w:pPr>
        <w:pStyle w:val="ListParagraph"/>
        <w:widowControl/>
        <w:spacing w:after="40"/>
      </w:pPr>
      <w:r>
        <w:t>3 user account(s) compromised via infostealer — force password resets and enable MFA for affected accounts.</w:t>
      </w:r>
    </w:p>
    <w:p>
      <w:pPr>
        <w:pStyle w:val="ListParagraph"/>
        <w:widowControl/>
        <w:spacing w:after="40"/>
      </w:pPr>
      <w:r>
        <w:t>5 third-party exposure(s) detected — review supply chain partners and shared credential access.</w:t>
      </w:r>
    </w:p>
    <w:p>
      <w:pPr>
        <w:pStyle w:val="ListParagraph"/>
        <w:widowControl/>
        <w:spacing w:after="40"/>
      </w:pPr>
      <w:r>
        <w:t>No infostealer infections detected —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 credentials or data may be actively traded on criminal forums.</w:t>
      </w:r>
    </w:p>
    <w:p>
      <w:pPr>
        <w:pStyle w:val="ListParagraph"/>
        <w:widowControl/>
        <w:spacing w:after="40"/>
      </w:pPr>
      <w:r>
        <w:t>8 paste site mention(s) — data has been shared on public paste sites (Pastebin, etc.).</w:t>
      </w:r>
    </w:p>
    <w:p>
      <w:pPr>
        <w:pStyle w:val="ListParagraph"/>
        <w:widowControl/>
        <w:spacing w:after="40"/>
      </w:pPr>
      <w:r>
        <w:t>12 reference(s) found in dark web and leak databases —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 human-readable explanations of why the risk level was assigned (e.g., 'ACTIVE INFOSTEALER: 2 employee device(s) currently infected —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 the flagging engines are listed by name (e.g., Fortinet, Kaspersky, ESET) with their specific verdicts.</w:t>
      </w:r>
    </w:p>
    <w:p>
      <w:pPr>
        <w:pStyle w:val="ListParagraph"/>
        <w:widowControl/>
        <w:spacing w:after="40"/>
      </w:pPr>
      <w:r>
        <w:t>1 security engine(s) flagged this domain as suspicious — a single suspicious flag may be a false positive but warrants investigation.</w:t>
      </w:r>
    </w:p>
    <w:p>
      <w:pPr>
        <w:pStyle w:val="ListParagraph"/>
        <w:widowControl/>
        <w:spacing w:after="40"/>
      </w:pPr>
      <w:r>
        <w:t>Categories: Fortinet classifies the domain as 'phishing' —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pPr>
        <w:widowControl/>
        <w:spacing w:after="80"/>
      </w:pPr>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 these are the highest-risk variants as they can serve convincing HTTPS phishing pages.</w:t>
      </w:r>
    </w:p>
    <w:p>
      <w:pPr>
        <w:pStyle w:val="ListParagraph"/>
        <w:widowControl/>
        <w:spacing w:after="40"/>
      </w:pPr>
      <w:r>
        <w:t>No lookalike domains resolving —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 they suggest someone is actively setting up infrastructure for an attack.</w:t>
      </w:r>
    </w:p>
    <w:p>
      <w:pPr>
        <w:keepNext/>
        <w:spacing w:before="200" w:after="60"/>
      </w:pPr>
      <w:r>
        <w:rPr>
          <w:b/>
          <w:color w:val="003366"/>
          <w:sz w:val="26"/>
        </w:rPr>
        <w:t>4.6.12  Section Summary — Interpreting Exposure Results</w:t>
      </w:r>
    </w:p>
    <w:p>
      <w:pPr>
        <w:widowControl/>
        <w:spacing w:after="80"/>
      </w:pPr>
      <w:r>
        <w:t>The eleven checkers in this section work together to provide a 360-degree view of a domain's exposure and reputation profile.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pPr>
        <w:widowControl/>
        <w:spacing w:after="80"/>
      </w:pPr>
      <w:r>
        <w:rPr>
          <w:b/>
          <w:color w:val="B40000"/>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 flagged as a risk factor. New domains lack reputation history and are disproportionately used in scam operations.</w:t>
      </w:r>
    </w:p>
    <w:p>
      <w:pPr>
        <w:pStyle w:val="ListParagraph"/>
        <w:widowControl/>
        <w:spacing w:after="40"/>
      </w:pPr>
      <w:r>
        <w:t>Domain age over 5 years — positive trust signal. Long-standing domains indicate business continuity and established operations.</w:t>
      </w:r>
    </w:p>
    <w:p>
      <w:pPr>
        <w:pStyle w:val="ListParagraph"/>
        <w:widowControl/>
        <w:spacing w:after="40"/>
      </w:pPr>
      <w:r>
        <w:t>Domain expiry within 90 days — warning flag. A domain that is about to expire may indicate neglected infrastructure or a business in decline.</w:t>
      </w:r>
    </w:p>
    <w:p>
      <w:pPr>
        <w:pStyle w:val="ListParagraph"/>
        <w:widowControl/>
        <w:spacing w:after="40"/>
      </w:pPr>
      <w:r>
        <w:t>WHOIS privacy enabled —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 frequent changes to A records or NS records may indicate infrastructure instability or a recent migration.</w:t>
      </w:r>
    </w:p>
    <w:p>
      <w:pPr>
        <w:pStyle w:val="ListParagraph"/>
        <w:widowControl/>
        <w:spacing w:after="40"/>
      </w:pPr>
      <w:r>
        <w:t>MX record analysis — identifies the email provider (Google Workspace, Microsoft 365, self-hosted). Self-hosted mail servers require more operational security than managed providers.</w:t>
      </w:r>
    </w:p>
    <w:p>
      <w:pPr>
        <w:pStyle w:val="ListParagraph"/>
        <w:widowControl/>
        <w:spacing w:after="40"/>
      </w:pPr>
      <w:r>
        <w:t>NS record analysis —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 Does the policy describe what personal information is collected and the lawful basis for processing?</w:t>
      </w:r>
    </w:p>
    <w:p>
      <w:pPr>
        <w:pStyle w:val="ListParagraph"/>
        <w:widowControl/>
        <w:spacing w:after="40"/>
      </w:pPr>
      <w:r>
        <w:t>Data retention — Does the policy state how long data is kept and the criteria used to determine retention periods?</w:t>
      </w:r>
    </w:p>
    <w:p>
      <w:pPr>
        <w:pStyle w:val="ListParagraph"/>
        <w:widowControl/>
        <w:spacing w:after="40"/>
      </w:pPr>
      <w:r>
        <w:t>Data subject rights — Does the policy inform individuals of their rights to access, correct, and delete their personal information?</w:t>
      </w:r>
    </w:p>
    <w:p>
      <w:pPr>
        <w:pStyle w:val="ListParagraph"/>
        <w:widowControl/>
        <w:spacing w:after="40"/>
      </w:pPr>
      <w:r>
        <w:t>Information officer — Does the policy name or reference an information officer or data protection officer, as required by POPIA Section 55?</w:t>
      </w:r>
    </w:p>
    <w:p>
      <w:pPr>
        <w:pStyle w:val="ListParagraph"/>
        <w:widowControl/>
        <w:spacing w:after="40"/>
      </w:pPr>
      <w:r>
        <w:t>Cross-border transfers —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 If security.txt references a PGP encryption key, it shows the organisation can receive encrypted vulnerability reports, adding another layer of operational maturity.</w:t>
      </w:r>
    </w:p>
    <w:p>
      <w:pPr>
        <w:pStyle w:val="ListParagraph"/>
        <w:widowControl/>
        <w:spacing w:after="40"/>
      </w:pPr>
      <w:r>
        <w:t>robots.txt —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 Encryption in Transit: TLS configuration and certificate validity (from the SSL checker). POPIA Section 19 requires appropriate technical measures to secure personal information.</w:t>
      </w:r>
    </w:p>
    <w:p>
      <w:pPr>
        <w:pStyle w:val="ListParagraph"/>
        <w:widowControl/>
        <w:spacing w:after="40"/>
      </w:pPr>
      <w:r>
        <w:t>S19b — Security Headers: HTTP security headers that prevent XSS, clickjacking, and MIME-type attacks.</w:t>
      </w:r>
    </w:p>
    <w:p>
      <w:pPr>
        <w:pStyle w:val="ListParagraph"/>
        <w:widowControl/>
        <w:spacing w:after="40"/>
      </w:pPr>
      <w:r>
        <w:t>S19c — Web Application Security: Secure website configuration and WAF protection.</w:t>
      </w:r>
    </w:p>
    <w:p>
      <w:pPr>
        <w:pStyle w:val="ListParagraph"/>
        <w:widowControl/>
        <w:spacing w:after="40"/>
      </w:pPr>
      <w:r>
        <w:t>S19d — Network Access Control: Restriction of remote access services (RDP, VPN) and closure of high-risk network ports.</w:t>
      </w:r>
    </w:p>
    <w:p>
      <w:pPr>
        <w:pStyle w:val="ListParagraph"/>
        <w:widowControl/>
        <w:spacing w:after="40"/>
      </w:pPr>
      <w:r>
        <w:t>S19e — Email Security: SPF, DMARC, and DKIM configuration to prevent phishing and email impersonation.</w:t>
      </w:r>
    </w:p>
    <w:p>
      <w:pPr>
        <w:pStyle w:val="ListParagraph"/>
        <w:widowControl/>
        <w:spacing w:after="40"/>
      </w:pPr>
      <w:r>
        <w:t>S20a — Privacy Policy: Published privacy policy covering all POPIA-required sections.</w:t>
      </w:r>
    </w:p>
    <w:p>
      <w:pPr>
        <w:pStyle w:val="ListParagraph"/>
        <w:widowControl/>
        <w:spacing w:after="40"/>
      </w:pPr>
      <w:r>
        <w:t>S20b — Data Minimisation: No unnecessary exposure of sensitive files or admin interfaces.</w:t>
      </w:r>
    </w:p>
    <w:p>
      <w:pPr>
        <w:pStyle w:val="ListParagraph"/>
        <w:widowControl/>
        <w:spacing w:after="40"/>
      </w:pPr>
      <w:r>
        <w:t>S21a — Software Currency: All software components actively maintained with no end-of-life versions.</w:t>
      </w:r>
    </w:p>
    <w:p>
      <w:pPr>
        <w:pStyle w:val="ListParagraph"/>
        <w:widowControl/>
        <w:spacing w:after="40"/>
      </w:pPr>
      <w:r>
        <w:t>S22a — Breach History: Historical data breach exposure and notification readiness.</w:t>
      </w:r>
    </w:p>
    <w:p>
      <w:pPr>
        <w:pStyle w:val="ListParagraph"/>
        <w:widowControl/>
        <w:spacing w:after="40"/>
      </w:pPr>
      <w:r>
        <w:t>S22b —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 Default Credentials: Checks for exposed admin panels that may use default or guessable credentials.</w:t>
      </w:r>
    </w:p>
    <w:p>
      <w:pPr>
        <w:pStyle w:val="ListParagraph"/>
        <w:widowControl/>
        <w:spacing w:after="40"/>
      </w:pPr>
      <w:r>
        <w:t>Req 2b — System Hardening: Security headers and information disclosure controls.</w:t>
      </w:r>
    </w:p>
    <w:p>
      <w:pPr>
        <w:pStyle w:val="ListParagraph"/>
        <w:widowControl/>
        <w:spacing w:after="40"/>
      </w:pPr>
      <w:r>
        <w:t>Req 2c — Security Policies: Presence of documented security policies (security.txt).</w:t>
      </w:r>
    </w:p>
    <w:p>
      <w:pPr>
        <w:pStyle w:val="ListParagraph"/>
        <w:widowControl/>
        <w:spacing w:after="40"/>
      </w:pPr>
      <w:r>
        <w:t>Req 4a — TLS Configuration: Strong TLS encryption for cardholder data transmission.</w:t>
      </w:r>
    </w:p>
    <w:p>
      <w:pPr>
        <w:pStyle w:val="ListParagraph"/>
        <w:widowControl/>
        <w:spacing w:after="40"/>
      </w:pPr>
      <w:r>
        <w:t>Req 4b — HTTPS Enforcement: All endpoints handling sensitive data served exclusively over HTTPS.</w:t>
      </w:r>
    </w:p>
    <w:p>
      <w:pPr>
        <w:pStyle w:val="ListParagraph"/>
        <w:widowControl/>
        <w:spacing w:after="40"/>
      </w:pPr>
      <w:r>
        <w:t>Req 6a — Patch Management: Software versions current with no known vulnerabilities.</w:t>
      </w:r>
    </w:p>
    <w:p>
      <w:pPr>
        <w:pStyle w:val="ListParagraph"/>
        <w:widowControl/>
        <w:spacing w:after="40"/>
      </w:pPr>
      <w:r>
        <w:t>Req 6b — Secure Coding: Secure application headers and web application protection.</w:t>
      </w:r>
    </w:p>
    <w:p>
      <w:pPr>
        <w:pStyle w:val="ListParagraph"/>
        <w:widowControl/>
        <w:spacing w:after="40"/>
      </w:pPr>
      <w:r>
        <w:t>Req 8a — Payment Security: PCI-compliant payment processing (third-party vs. self-hosted).</w:t>
      </w:r>
    </w:p>
    <w:p>
      <w:pPr>
        <w:pStyle w:val="ListParagraph"/>
        <w:widowControl/>
        <w:spacing w:after="40"/>
      </w:pPr>
      <w:r>
        <w:t>Req 11a — Vulnerability Scanning: External vulnerability scan results from Shodan CVE analysis.</w:t>
      </w:r>
    </w:p>
    <w:p>
      <w:pPr>
        <w:pStyle w:val="ListParagraph"/>
        <w:widowControl/>
        <w:spacing w:after="40"/>
      </w:pPr>
      <w:r>
        <w:t>Req 11b —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 Asset Inventory: Technology stack detection and external IP enumeration.</w:t>
      </w:r>
    </w:p>
    <w:p>
      <w:pPr>
        <w:pStyle w:val="ListParagraph"/>
        <w:widowControl/>
        <w:spacing w:after="40"/>
      </w:pPr>
      <w:r>
        <w:t>A.8b — Attack Surface: Subdomain discovery and attack surface mapping.</w:t>
      </w:r>
    </w:p>
    <w:p>
      <w:pPr>
        <w:pStyle w:val="ListParagraph"/>
        <w:widowControl/>
        <w:spacing w:after="40"/>
      </w:pPr>
      <w:r>
        <w:t>A.12a — Network Security: Open port analysis, DNS infrastructure, and service hardening.</w:t>
      </w:r>
    </w:p>
    <w:p>
      <w:pPr>
        <w:pStyle w:val="ListParagraph"/>
        <w:widowControl/>
        <w:spacing w:after="40"/>
      </w:pPr>
      <w:r>
        <w:t>A.12b — Remote Access: RDP, VPN, and remote access protocol security.</w:t>
      </w:r>
    </w:p>
    <w:p>
      <w:pPr>
        <w:pStyle w:val="ListParagraph"/>
        <w:widowControl/>
        <w:spacing w:after="40"/>
      </w:pPr>
      <w:r>
        <w:t>A.12c — Malware and Reputation: DNSBL blacklisting and VirusTotal malware detection.</w:t>
      </w:r>
    </w:p>
    <w:p>
      <w:pPr>
        <w:pStyle w:val="ListParagraph"/>
        <w:widowControl/>
        <w:spacing w:after="40"/>
      </w:pPr>
      <w:r>
        <w:t>A.12d — DDoS Resilience: WAF detection and CDN/cloud infrastructure.</w:t>
      </w:r>
    </w:p>
    <w:p>
      <w:pPr>
        <w:pStyle w:val="ListParagraph"/>
        <w:widowControl/>
        <w:spacing w:after="40"/>
      </w:pPr>
      <w:r>
        <w:t>A.14a — Encryption Standards: SSL/TLS configuration and certificate management.</w:t>
      </w:r>
    </w:p>
    <w:p>
      <w:pPr>
        <w:pStyle w:val="ListParagraph"/>
        <w:widowControl/>
        <w:spacing w:after="40"/>
      </w:pPr>
      <w:r>
        <w:t>A.14b — Application Security: HTTP security headers and web application hardening.</w:t>
      </w:r>
    </w:p>
    <w:p>
      <w:pPr>
        <w:pStyle w:val="ListParagraph"/>
        <w:widowControl/>
        <w:spacing w:after="40"/>
      </w:pPr>
      <w:r>
        <w:t>A.14c —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 GV.1 Security Policy: Documented cybersecurity governance (security.txt).</w:t>
      </w:r>
    </w:p>
    <w:p>
      <w:pPr>
        <w:pStyle w:val="ListParagraph"/>
        <w:widowControl/>
        <w:spacing w:after="40"/>
      </w:pPr>
      <w:r>
        <w:t>GOVERN — GV.2 Privacy Governance: Privacy policy and data protection compliance.</w:t>
      </w:r>
    </w:p>
    <w:p>
      <w:pPr>
        <w:pStyle w:val="ListParagraph"/>
        <w:widowControl/>
        <w:spacing w:after="40"/>
      </w:pPr>
      <w:r>
        <w:t>IDENTIFY — ID.1 Asset Discovery: Technology stack and external IP inventory.</w:t>
      </w:r>
    </w:p>
    <w:p>
      <w:pPr>
        <w:pStyle w:val="ListParagraph"/>
        <w:widowControl/>
        <w:spacing w:after="40"/>
      </w:pPr>
      <w:r>
        <w:t>IDENTIFY — ID.2 Attack Surface Mapping: Subdomain discovery and information disclosure.</w:t>
      </w:r>
    </w:p>
    <w:p>
      <w:pPr>
        <w:pStyle w:val="ListParagraph"/>
        <w:widowControl/>
        <w:spacing w:after="40"/>
      </w:pPr>
      <w:r>
        <w:t>PROTECT — PR.1 Encryption and TLS: Data-in-transit protection.</w:t>
      </w:r>
    </w:p>
    <w:p>
      <w:pPr>
        <w:pStyle w:val="ListParagraph"/>
        <w:widowControl/>
        <w:spacing w:after="40"/>
      </w:pPr>
      <w:r>
        <w:t>PROTECT — PR.2 Security Headers and Hardening: HTTP hardening and web application security.</w:t>
      </w:r>
    </w:p>
    <w:p>
      <w:pPr>
        <w:pStyle w:val="ListParagraph"/>
        <w:widowControl/>
        <w:spacing w:after="40"/>
      </w:pPr>
      <w:r>
        <w:t>PROTECT — PR.3 Perimeter Defence: WAF, firewall rules, and remote access controls.</w:t>
      </w:r>
    </w:p>
    <w:p>
      <w:pPr>
        <w:pStyle w:val="ListParagraph"/>
        <w:widowControl/>
        <w:spacing w:after="40"/>
      </w:pPr>
      <w:r>
        <w:t>PROTECT — PR.4 Email Authentication: SPF, DMARC, DKIM, and MTA-STS.</w:t>
      </w:r>
    </w:p>
    <w:p>
      <w:pPr>
        <w:pStyle w:val="ListParagraph"/>
        <w:widowControl/>
        <w:spacing w:after="40"/>
      </w:pPr>
      <w:r>
        <w:t>DETECT — DE.1 Vulnerability Detection: Shodan CVE analysis and version-based vulnerability scanning.</w:t>
      </w:r>
    </w:p>
    <w:p>
      <w:pPr>
        <w:pStyle w:val="ListParagraph"/>
        <w:widowControl/>
        <w:spacing w:after="40"/>
      </w:pPr>
      <w:r>
        <w:t>DETECT — DE.2 Threat Intelligence: VirusTotal, DNSBL, and exposed admin detection.</w:t>
      </w:r>
    </w:p>
    <w:p>
      <w:pPr>
        <w:pStyle w:val="ListParagraph"/>
        <w:widowControl/>
        <w:spacing w:after="40"/>
      </w:pPr>
      <w:r>
        <w:t>RESPOND — RS.1 Breach Response: Historical breach exposure and credential leak monitoring.</w:t>
      </w:r>
    </w:p>
    <w:p>
      <w:pPr>
        <w:pStyle w:val="ListParagraph"/>
        <w:widowControl/>
        <w:spacing w:after="40"/>
      </w:pPr>
      <w:r>
        <w:t>RESPOND — RS.2 Security Disclosure: Published vulnerability disclosure policy.</w:t>
      </w:r>
    </w:p>
    <w:p>
      <w:pPr>
        <w:pStyle w:val="ListParagraph"/>
        <w:widowControl/>
        <w:spacing w:after="40"/>
      </w:pPr>
      <w:r>
        <w:t>RECOVER — RC.1 Infrastructure Resilience: DNS redundancy and CDN availability.</w:t>
      </w:r>
    </w:p>
    <w:p>
      <w:pPr>
        <w:pStyle w:val="ListParagraph"/>
        <w:widowControl/>
        <w:spacing w:after="40"/>
      </w:pPr>
      <w:r>
        <w:t>RECOVER —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 The control meets the expected standard based on external evidence.</w:t>
      </w:r>
    </w:p>
    <w:p>
      <w:pPr>
        <w:pStyle w:val="ListParagraph"/>
        <w:widowControl/>
        <w:spacing w:after="40"/>
      </w:pPr>
      <w:r>
        <w:t>PARTIAL (score 40 to 69) — The control is partially implemented but has gaps.</w:t>
      </w:r>
    </w:p>
    <w:p>
      <w:pPr>
        <w:pStyle w:val="ListParagraph"/>
        <w:widowControl/>
        <w:spacing w:after="40"/>
      </w:pPr>
      <w:r>
        <w:t>FAIL (score below 40) — The control is absent or critically deficient.</w:t>
      </w:r>
    </w:p>
    <w:p>
      <w:pPr>
        <w:pStyle w:val="ListParagraph"/>
        <w:widowControl/>
        <w:spacing w:after="40"/>
      </w:pPr>
      <w:r>
        <w:t>NO_DATA —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 they are not theoretical risks.</w:t>
      </w:r>
    </w:p>
    <w:p>
      <w:pPr>
        <w:widowControl/>
        <w:spacing w:after="80"/>
      </w:pPr>
      <w:r>
        <w:rPr>
          <w:b/>
        </w:rPr>
        <w:t xml:space="preserve">Priority 2 —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(residual) — notification costs, credit monitoring, legal fees, reputational damage, and customer churn. This is the residual after C2-C5 are allocated.</w:t>
      </w:r>
    </w:p>
    <w:p>
      <w:pPr>
        <w:pStyle w:val="ListParagraph"/>
        <w:widowControl/>
        <w:spacing w:after="40"/>
      </w:pPr>
      <w:r>
        <w:t>C2: Regulatory fines per jurisdiction — POPIA fines (up to R10 million), GDPR exposure (4% of global turnover, uncapped) if applicable, and PCI DSS fines if applicable. Jurisdiction-specific calculations based on the scan input toggles.</w:t>
      </w:r>
    </w:p>
    <w:p>
      <w:pPr>
        <w:pStyle w:val="ListParagraph"/>
        <w:widowControl/>
        <w:spacing w:after="40"/>
      </w:pPr>
      <w:r>
        <w:t>C3: Business interruption — revenue loss during recovery. Uses a SA-calibrated PERT distribution for recovery time: PERT(3, 25, 120) days, reflecting the Sophos SA 2025 finding that SA organisations take a median of 25 days to recover from ransomware.</w:t>
      </w:r>
    </w:p>
    <w:p>
      <w:pPr>
        <w:pStyle w:val="ListParagraph"/>
        <w:widowControl/>
        <w:spacing w:after="40"/>
      </w:pPr>
      <w:r>
        <w:t>C4: Ransom/extortion — set at 10.40% of total breach magnitude, proportional to the IBM SA data decomposition. This component is only activated for ransomware-family incidents.</w:t>
      </w:r>
    </w:p>
    <w:p>
      <w:pPr>
        <w:pStyle w:val="ListParagraph"/>
        <w:widowControl/>
        <w:spacing w:after="40"/>
      </w:pPr>
      <w:r>
        <w:t>C5: Incident response —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without breaching the Render free-tier memory limit.</w:t>
      </w:r>
    </w:p>
    <w:p>
      <w:pPr>
        <w:widowControl/>
        <w:spacing w:after="80"/>
      </w:pPr>
      <w:r>
        <w:t>Key PERT parameters include SA recovery time PERT(3, 25, 120)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return-period percentiles (P99 = 1-in-100 year, P99.5 = 1-in-200, P99.6 = 1-in-250).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w:t>
      </w:r>
    </w:p>
    <w:p>
      <w:pPr>
        <w:pStyle w:val="ListParagraph"/>
        <w:widowControl/>
        <w:spacing w:after="40"/>
      </w:pPr>
      <w:r>
        <w:t>Most Likely (mode) — the peak of the loss distribution; the single most probable annual loss outcome.</w:t>
      </w:r>
    </w:p>
    <w:p>
      <w:pPr>
        <w:pStyle w:val="ListParagraph"/>
        <w:widowControl/>
        <w:spacing w:after="40"/>
      </w:pPr>
      <w:r>
        <w:t>Median (P50) — half of all simulated outcomes fall below this figure. Reasonable anchor for premium-rating calculations.</w:t>
      </w:r>
    </w:p>
    <w:p>
      <w:pPr>
        <w:pStyle w:val="ListParagraph"/>
        <w:widowControl/>
        <w:spacing w:after="40"/>
      </w:pPr>
      <w:r>
        <w:t>1-in-100 event (P99) — the loss level expected to be exceeded once in 100 years (1% annual exceedance probability). Standard reinsurance / underwriting convention for cover sizing.</w:t>
      </w:r>
    </w:p>
    <w:p>
      <w:pPr>
        <w:pStyle w:val="ListParagraph"/>
        <w:widowControl/>
        <w:spacing w:after="40"/>
      </w:pPr>
      <w:r>
        <w:t>1-in-200 event (P99.5) — aligned with the FSCA SAM (Solvency Assessment and Management) regime's catastrophe scenario.</w:t>
      </w:r>
    </w:p>
    <w:p>
      <w:pPr>
        <w:pStyle w:val="ListParagraph"/>
        <w:widowControl/>
        <w:spacing w:after="40"/>
      </w:pPr>
      <w:r>
        <w:t>1-in-250 event (P99.6) — extreme tail view requested for catastrophe-cover discussions. GPD-fitted from the right tail of the simulation.</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0.65 = R6.5M; ECTA R1M x 0.65 = R0.65M; CPA 10% x R200M = R20M (no factor - percentage already scales); FSCA R100M x 0.65 = R65M; FIC R50M x 0.65 = R32.5M; JSE R7.5M x 0.65 = R4.875M. Total cat stack: approximately R129.5M. The same entity at R10M revenue (capacity factor 0.15) would face approximately R24M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from sub-industry rules and payment-form signals on the homepage; accountable institution from FS / Legal Services / Real Estate sub-industry mapping; healthcare sub-detail (medical_scheme / pharmacy / pharma / hospital_clinic) from domain and page-title keywords; GDPR and PCI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is inferred from consumer-facing sub-industry labels plus payment-form signals from the homepage probe.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 RSI reduction of 0.05 to 0.09 per step. Significant security improvements that should be addressed within 30 days. Examples: deploying a WAF, implementing DMARC, resetting leaked credentials.</w:t>
      </w:r>
    </w:p>
    <w:p>
      <w:pPr>
        <w:pStyle w:val="ListParagraph"/>
        <w:widowControl/>
        <w:spacing w:after="40"/>
      </w:pPr>
      <w:r>
        <w:t>P3 (Medium) —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 branded cover with target domain, scan date, and overall risk score gauge.</w:t>
      </w:r>
    </w:p>
    <w:p>
      <w:pPr>
        <w:pStyle w:val="ListParagraph"/>
        <w:widowControl/>
        <w:spacing w:after="40"/>
      </w:pPr>
      <w:r>
        <w:t>Executive Summary -- high-level risk posture with key metrics (overall score, critical issues, breach count, credential exposure, estimated financial impact range).</w:t>
      </w:r>
    </w:p>
    <w:p>
      <w:pPr>
        <w:pStyle w:val="ListParagraph"/>
        <w:widowControl/>
        <w:spacing w:after="40"/>
      </w:pPr>
      <w:r>
        <w:t>Vulnerability Posture -- simplified severity breakdown focusing on critical and high-severity findings only, with plain-language explanations.</w:t>
      </w:r>
    </w:p>
    <w:p>
      <w:pPr>
        <w:pStyle w:val="ListParagraph"/>
        <w:widowControl/>
        <w:spacing w:after="40"/>
      </w:pPr>
      <w:r>
        <w:t>Attacker's View -- abbreviated kill chain narrative highlighting the most impactful attack paths.</w:t>
      </w:r>
    </w:p>
    <w:p>
      <w:pPr>
        <w:pStyle w:val="ListParagraph"/>
        <w:widowControl/>
        <w:spacing w:after="40"/>
      </w:pPr>
      <w:r>
        <w:t>Financial Impact Summary -- RSI score, DBI score, and hybrid-model estimated loss range presented in a broker-friendly format with clear rand-value ranges.</w:t>
      </w:r>
    </w:p>
    <w:p>
      <w:pPr>
        <w:pStyle w:val="ListParagraph"/>
        <w:widowControl/>
        <w:spacing w:after="40"/>
      </w:pPr>
      <w:r>
        <w:t>'Why This Matters' Section --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 No issues found or the configuration meets best-practice standards. No action required.</w:t>
      </w:r>
    </w:p>
    <w:p>
      <w:pPr>
        <w:pStyle w:val="ListParagraph"/>
        <w:widowControl/>
        <w:spacing w:after="40"/>
      </w:pPr>
      <w:r>
        <w:t>Amber circle -- Minor issues or partial implementation detected. Improvement is recommended but the risk is moderate.</w:t>
      </w:r>
    </w:p>
    <w:p>
      <w:pPr>
        <w:pStyle w:val="ListParagraph"/>
        <w:widowControl/>
        <w:spacing w:after="40"/>
      </w:pPr>
      <w:r>
        <w:t>Red circle --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 contains the traffic-light indicator, the checker name, and a one-line summary of the finding (e.g., 'SPF record is valid but could be stricter').</w:t>
      </w:r>
    </w:p>
    <w:p>
      <w:pPr>
        <w:pStyle w:val="ListParagraph"/>
        <w:widowControl/>
        <w:spacing w:after="40"/>
      </w:pPr>
      <w:r>
        <w:t>Data Table --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 a plain-language paragraph explaining the significance of the findings for a non-technical reader. This section answers the question: 'Why should I care?'</w:t>
      </w:r>
    </w:p>
    <w:p>
      <w:pPr>
        <w:pStyle w:val="ListParagraph"/>
        <w:widowControl/>
        <w:spacing w:after="40"/>
      </w:pPr>
      <w:r>
        <w:t>'Recommended Actions' --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has a 1% annual exceedance probability (P99 percentile of the loss distribution); 1-in-200 = 0.5% (P99.5); 1-in-250 = 0.4% (P99.6). These figures are surfaced as Loss Exposure Scenarios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