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 for example, a WAF or CDN returns a 403 or 503 challenge/block page to the scanner's user agent —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and x-sucuri-cache headers.</w:t>
      </w:r>
    </w:p>
    <w:p>
      <w:pPr>
        <w:pStyle w:val="ListParagraph"/>
        <w:widowControl/>
        <w:spacing w:after="40"/>
      </w:pPr>
      <w:r>
        <w:t>F5 BIG-IP ASM --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penalty magnitudes are conservative and calibration-gated.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 Spamhaus open-resolver / rate-limit codes in the 127.255.255.x range and the URIBL 127.0.0.1 query-refused code —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dnsbl-1.uceprotect.net — UCEProtect listings often indicate the IP sits on a range with a poor sending reputation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is the PRIMARY source — it reveals every subdomain that has ever had a public certificate issued.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etc.) appears as a distinct label — the apex itself and the ordinary www host are excluded from the risky count.</w:t>
      </w:r>
    </w:p>
    <w:p>
      <w:pPr>
        <w:widowControl/>
        <w:spacing w:after="80"/>
      </w:pPr>
      <w:r>
        <w:rPr>
          <w:b/>
        </w:rPr>
        <w:t xml:space="preserve">How it works: </w:t>
      </w:r>
      <w:r>
        <w:t>First, a query to crt.sh retrieves all certificates ever issued for the domain and its subdomains from public Certificate Transparency logs (the query is retried once before giving up). This reveals subdomains the organisation may have forgotten about — old staging servers, decommissioned APIs, and test environments. The report only narrates results as discovered 'via Certificate Transparency' when this crt.sh query actually succeeded; if CT is unavailable the card does not claim a CT source.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 Each genuinely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 the plaintext- and hashed-password subset from the Dehashed credential breakdown —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 most reliably —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 a point-in-time malware capture —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 'is someone able to log in right now?' —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 refreshed against endoflife.date —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Severe event (P99 severity) —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 the next severity tier, aligned with the FSCA SAM (Solvency Assessment and Management) regime's catastrophe benchmark; reported under the 1-in-200 cover tier.</w:t>
      </w:r>
    </w:p>
    <w:p>
      <w:pPr>
        <w:pStyle w:val="ListParagraph"/>
        <w:widowControl/>
        <w:spacing w:after="40"/>
      </w:pPr>
      <w:r>
        <w:t>Catastrophic event (P99.6 severity) —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provisional multi-channel band set: below 5% Low, 5 to 15% Typical, 15 to 30% Elevated, and above 30% High. These bands are provisional pending a dedicated multi-channel calibration and are labelled as provisional in the report.</w:t>
      </w:r>
    </w:p>
    <w:p>
      <w:pPr>
        <w:widowControl/>
        <w:spacing w:after="80"/>
      </w:pPr>
      <w:r>
        <w:t>A third and separate line reports an availability resilience indicator. It spans outage and availability risk arising from both denial-of-service and system or infrastructure-failure causes, and is derived heuristically from the WAF, CDN, hosting-concentration (single autonomous system) and DNS-blocklist signals. It is reported as an indicative measure only: it is not a calibrated probability, and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 is flagged in the JSON output as not calibrated. A FAIR re-anchoring of this figure is a recorded future step and is required before it is ever presented as a calibrated rate.</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 including the actual passwords —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 counts only (number of exposed accounts, infected devices, services). No identifiers.</w:t>
      </w:r>
    </w:p>
    <w:p>
      <w:pPr>
        <w:pStyle w:val="ListParagraph"/>
        <w:widowControl/>
        <w:spacing w:after="40"/>
      </w:pPr>
      <w:r>
        <w:t>Broker Summary — 2-3 partially-masked example accounts / services plus summarised counts. No passwords.</w:t>
      </w:r>
    </w:p>
    <w:p>
      <w:pPr>
        <w:pStyle w:val="ListParagraph"/>
        <w:widowControl/>
        <w:spacing w:after="40"/>
      </w:pPr>
      <w:r>
        <w:t>Full Technical Report — enumerated, partially-masked accounts, a per-service summary, infection dates, and stealer families. No passwords.</w:t>
      </w:r>
    </w:p>
    <w:p>
      <w:pPr>
        <w:pStyle w:val="ListParagraph"/>
        <w:widowControl/>
        <w:spacing w:after="40"/>
      </w:pPr>
      <w:r>
        <w:t>Encrypted Credential Export (on request) —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 demonstrating the findings are real — while an outsider cannot reconstruct them.</w:t>
      </w:r>
    </w:p>
    <w:p>
      <w:pPr>
        <w:widowControl/>
        <w:spacing w:after="80"/>
      </w:pPr>
      <w:r>
        <w:rPr>
          <w:b/>
        </w:rPr>
        <w:t xml:space="preserve">Export file format —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 or to justify any uplift to the probability of breach / RSI —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 this is the authorisation gate and the FAIS / POPIA audit trail.</w:t>
      </w:r>
    </w:p>
    <w:p>
      <w:pPr>
        <w:pStyle w:val="ListParagraph"/>
        <w:widowControl/>
        <w:spacing w:after="40"/>
      </w:pPr>
      <w:r>
        <w:t>2. Obtain the client's age PUBLIC key (the client generates it —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 without it the file cannot be opened.</w:t>
      </w:r>
    </w:p>
    <w:p>
      <w:pPr>
        <w:widowControl/>
        <w:spacing w:after="80"/>
      </w:pPr>
      <w:r>
        <w:rPr>
          <w:b/>
        </w:rPr>
        <w:t xml:space="preserve">Client guide —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 which never leaves them —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