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B92AD" w14:textId="49A55EA1" w:rsidR="001F4F36" w:rsidRDefault="00000000" w:rsidP="00000BCA">
      <w:pPr>
        <w:pStyle w:val="Heading1"/>
        <w:spacing w:after="60"/>
      </w:pPr>
      <w:r>
        <w:rPr>
          <w:rFonts w:ascii="Calibri" w:eastAsia="Calibri" w:hAnsi="Calibri" w:cs="Calibri"/>
          <w:b/>
          <w:bCs/>
          <w:sz w:val="34"/>
          <w:szCs w:val="34"/>
        </w:rPr>
        <w:t>User experience definition</w:t>
      </w:r>
    </w:p>
    <w:p w14:paraId="5EC6CFF0" w14:textId="0E1742B3" w:rsidR="001F4F36" w:rsidRDefault="00000000">
      <w:pPr>
        <w:spacing w:after="140" w:line="300" w:lineRule="auto"/>
      </w:pPr>
      <w:r>
        <w:rPr>
          <w:rFonts w:ascii="Calibri" w:eastAsia="Calibri" w:hAnsi="Calibri" w:cs="Calibri"/>
          <w:color w:val="1A1D21"/>
          <w:sz w:val="21"/>
          <w:szCs w:val="21"/>
        </w:rPr>
        <w:t xml:space="preserve">This document defines who the simulation is for, the conditions it will be used under, and the experience it </w:t>
      </w:r>
      <w:r w:rsidR="00000BCA">
        <w:rPr>
          <w:rFonts w:ascii="Calibri" w:eastAsia="Calibri" w:hAnsi="Calibri" w:cs="Calibri"/>
          <w:color w:val="1A1D21"/>
          <w:sz w:val="21"/>
          <w:szCs w:val="21"/>
        </w:rPr>
        <w:t>must</w:t>
      </w:r>
      <w:r>
        <w:rPr>
          <w:rFonts w:ascii="Calibri" w:eastAsia="Calibri" w:hAnsi="Calibri" w:cs="Calibri"/>
          <w:color w:val="1A1D21"/>
          <w:sz w:val="21"/>
          <w:szCs w:val="21"/>
        </w:rPr>
        <w:t xml:space="preserve"> deliver. It is the reference the flow and screen designs are measured against</w:t>
      </w:r>
      <w:r w:rsidR="00000BCA">
        <w:rPr>
          <w:rFonts w:ascii="Calibri" w:eastAsia="Calibri" w:hAnsi="Calibri" w:cs="Calibri"/>
          <w:color w:val="1A1D21"/>
          <w:sz w:val="21"/>
          <w:szCs w:val="21"/>
        </w:rPr>
        <w:t>,</w:t>
      </w:r>
      <w:r>
        <w:rPr>
          <w:rFonts w:ascii="Calibri" w:eastAsia="Calibri" w:hAnsi="Calibri" w:cs="Calibri"/>
          <w:color w:val="1A1D21"/>
          <w:sz w:val="21"/>
          <w:szCs w:val="21"/>
        </w:rPr>
        <w:t xml:space="preserve"> when a design decision is questioned, the answer should be traceable to something here.</w:t>
      </w:r>
    </w:p>
    <w:p w14:paraId="5C903427" w14:textId="77777777" w:rsidR="001F4F36" w:rsidRDefault="00000000">
      <w:pPr>
        <w:pStyle w:val="Heading2"/>
        <w:spacing w:before="380" w:after="120"/>
      </w:pPr>
      <w:r>
        <w:rPr>
          <w:rFonts w:ascii="Calibri" w:eastAsia="Calibri" w:hAnsi="Calibri" w:cs="Calibri"/>
          <w:b/>
          <w:bCs/>
          <w:sz w:val="25"/>
          <w:szCs w:val="25"/>
        </w:rPr>
        <w:t>1.  Who this is for</w:t>
      </w:r>
    </w:p>
    <w:p w14:paraId="232DAD03" w14:textId="77777777" w:rsidR="001F4F36" w:rsidRDefault="00000000">
      <w:pPr>
        <w:spacing w:after="140" w:line="300" w:lineRule="auto"/>
      </w:pPr>
      <w:r>
        <w:rPr>
          <w:rFonts w:ascii="Calibri" w:eastAsia="Calibri" w:hAnsi="Calibri" w:cs="Calibri"/>
          <w:color w:val="1A1D21"/>
          <w:sz w:val="21"/>
          <w:szCs w:val="21"/>
        </w:rPr>
        <w:t>Primary user: second-year Bachelor of Nursing students at RMIT, either preparing for or currently undertaking a clinical placement on a medical ward.</w:t>
      </w:r>
    </w:p>
    <w:p w14:paraId="2A5314B2" w14:textId="77777777" w:rsidR="001F4F36" w:rsidRDefault="00000000">
      <w:pPr>
        <w:pStyle w:val="ListParagraph"/>
        <w:numPr>
          <w:ilvl w:val="0"/>
          <w:numId w:val="2"/>
        </w:numPr>
        <w:spacing w:after="90" w:line="290" w:lineRule="auto"/>
      </w:pPr>
      <w:r>
        <w:rPr>
          <w:rFonts w:ascii="Calibri" w:eastAsia="Calibri" w:hAnsi="Calibri" w:cs="Calibri"/>
          <w:b/>
          <w:bCs/>
          <w:color w:val="1A1D21"/>
        </w:rPr>
        <w:t>Clinically inexperienced but not naive.</w:t>
      </w:r>
      <w:r>
        <w:rPr>
          <w:rFonts w:ascii="Calibri" w:eastAsia="Calibri" w:hAnsi="Calibri" w:cs="Calibri"/>
          <w:color w:val="1A1D21"/>
        </w:rPr>
        <w:t xml:space="preserve"> They have completed medication administration theory and know the term "scope of practice". What they lack is practice applying it under social pressure.</w:t>
      </w:r>
    </w:p>
    <w:p w14:paraId="504DCAE1" w14:textId="77777777" w:rsidR="001F4F36" w:rsidRDefault="00000000">
      <w:pPr>
        <w:pStyle w:val="ListParagraph"/>
        <w:numPr>
          <w:ilvl w:val="0"/>
          <w:numId w:val="2"/>
        </w:numPr>
        <w:spacing w:after="90" w:line="290" w:lineRule="auto"/>
      </w:pPr>
      <w:r>
        <w:rPr>
          <w:rFonts w:ascii="Calibri" w:eastAsia="Calibri" w:hAnsi="Calibri" w:cs="Calibri"/>
          <w:b/>
          <w:bCs/>
          <w:color w:val="1A1D21"/>
        </w:rPr>
        <w:t>Structurally junior.</w:t>
      </w:r>
      <w:r>
        <w:rPr>
          <w:rFonts w:ascii="Calibri" w:eastAsia="Calibri" w:hAnsi="Calibri" w:cs="Calibri"/>
          <w:color w:val="1A1D21"/>
        </w:rPr>
        <w:t xml:space="preserve"> On placement they hold the least authority in the room, and the person asking them to act is the person who will report on their performance.</w:t>
      </w:r>
    </w:p>
    <w:p w14:paraId="536CE7E3" w14:textId="77777777" w:rsidR="001F4F36" w:rsidRDefault="00000000">
      <w:pPr>
        <w:pStyle w:val="ListParagraph"/>
        <w:numPr>
          <w:ilvl w:val="0"/>
          <w:numId w:val="2"/>
        </w:numPr>
        <w:spacing w:after="90" w:line="290" w:lineRule="auto"/>
      </w:pPr>
      <w:r>
        <w:rPr>
          <w:rFonts w:ascii="Calibri" w:eastAsia="Calibri" w:hAnsi="Calibri" w:cs="Calibri"/>
          <w:b/>
          <w:bCs/>
          <w:color w:val="1A1D21"/>
        </w:rPr>
        <w:t>Unlikely to have refused a senior before.</w:t>
      </w:r>
      <w:r>
        <w:rPr>
          <w:rFonts w:ascii="Calibri" w:eastAsia="Calibri" w:hAnsi="Calibri" w:cs="Calibri"/>
          <w:color w:val="1A1D21"/>
        </w:rPr>
        <w:t xml:space="preserve"> For many this will be the first time they have said no to someone more senior in a clinical setting, even in simulation.</w:t>
      </w:r>
    </w:p>
    <w:p w14:paraId="1408DA9E" w14:textId="77777777" w:rsidR="001F4F36" w:rsidRDefault="00000000">
      <w:pPr>
        <w:spacing w:after="140" w:line="300" w:lineRule="auto"/>
      </w:pPr>
      <w:r>
        <w:rPr>
          <w:rFonts w:ascii="Calibri" w:eastAsia="Calibri" w:hAnsi="Calibri" w:cs="Calibri"/>
          <w:color w:val="1A1D21"/>
          <w:sz w:val="21"/>
          <w:szCs w:val="21"/>
        </w:rPr>
        <w:t>Secondary stakeholders: nursing educators and clinical facilitators, who may reference the simulation in teaching, and RMIT teaching staff responsible for placement preparation.</w:t>
      </w:r>
    </w:p>
    <w:p w14:paraId="32B78922" w14:textId="77777777" w:rsidR="001F4F36" w:rsidRDefault="00000000">
      <w:pPr>
        <w:pStyle w:val="Heading2"/>
        <w:spacing w:before="380" w:after="120"/>
      </w:pPr>
      <w:r>
        <w:rPr>
          <w:rFonts w:ascii="Calibri" w:eastAsia="Calibri" w:hAnsi="Calibri" w:cs="Calibri"/>
          <w:b/>
          <w:bCs/>
          <w:sz w:val="25"/>
          <w:szCs w:val="25"/>
        </w:rPr>
        <w:t>2.  The problem being addressed</w:t>
      </w:r>
    </w:p>
    <w:p w14:paraId="4614BDDC" w14:textId="77777777" w:rsidR="001F4F36" w:rsidRDefault="00000000">
      <w:pPr>
        <w:spacing w:after="140" w:line="300" w:lineRule="auto"/>
      </w:pPr>
      <w:r>
        <w:rPr>
          <w:rFonts w:ascii="Calibri" w:eastAsia="Calibri" w:hAnsi="Calibri" w:cs="Calibri"/>
          <w:color w:val="1A1D21"/>
          <w:sz w:val="21"/>
          <w:szCs w:val="21"/>
        </w:rPr>
        <w:t>Students are taught the boundaries of their scope of practice in theory, but the failure mode on placement is not ignorance — it is social. A registered nurse with authority over the student asks them to do something, frames it as helping, and the cost of refusing feels immediate while the cost of complying feels abstract.</w:t>
      </w:r>
    </w:p>
    <w:p w14:paraId="24C478F7" w14:textId="77777777" w:rsidR="001F4F36" w:rsidRDefault="00000000">
      <w:pPr>
        <w:spacing w:after="140" w:line="300" w:lineRule="auto"/>
      </w:pPr>
      <w:r>
        <w:rPr>
          <w:rFonts w:ascii="Calibri" w:eastAsia="Calibri" w:hAnsi="Calibri" w:cs="Calibri"/>
          <w:color w:val="1A1D21"/>
          <w:sz w:val="21"/>
          <w:szCs w:val="21"/>
        </w:rPr>
        <w:t>The simulation exists to let that pressure be experienced once in a setting where the consequences are educational rather than clinical, and where the student can see the outcome of either decision.</w:t>
      </w:r>
    </w:p>
    <w:p w14:paraId="529DF99A" w14:textId="77777777" w:rsidR="001F4F36" w:rsidRDefault="00000000">
      <w:pPr>
        <w:pStyle w:val="Heading2"/>
        <w:spacing w:before="380" w:after="120"/>
      </w:pPr>
      <w:r>
        <w:rPr>
          <w:rFonts w:ascii="Calibri" w:eastAsia="Calibri" w:hAnsi="Calibri" w:cs="Calibri"/>
          <w:b/>
          <w:bCs/>
          <w:sz w:val="25"/>
          <w:szCs w:val="25"/>
        </w:rPr>
        <w:t>3.  Context of use</w:t>
      </w:r>
    </w:p>
    <w:tbl>
      <w:tblPr>
        <w:tblW w:w="9026" w:type="dxa"/>
        <w:tblBorders>
          <w:top w:val="single" w:sz="4" w:space="0" w:color="DFE2E6"/>
          <w:left w:val="none" w:sz="0" w:space="0" w:color="FFFFFF"/>
          <w:bottom w:val="single" w:sz="4" w:space="0" w:color="DFE2E6"/>
          <w:right w:val="none" w:sz="0" w:space="0" w:color="FFFFFF"/>
          <w:insideH w:val="single" w:sz="4" w:space="0" w:color="DFE2E6"/>
          <w:insideV w:val="none" w:sz="0" w:space="0" w:color="FFFFFF"/>
        </w:tblBorders>
        <w:tblCellMar>
          <w:left w:w="10" w:type="dxa"/>
          <w:right w:w="10" w:type="dxa"/>
        </w:tblCellMar>
        <w:tblLook w:val="04A0" w:firstRow="1" w:lastRow="0" w:firstColumn="1" w:lastColumn="0" w:noHBand="0" w:noVBand="1"/>
      </w:tblPr>
      <w:tblGrid>
        <w:gridCol w:w="1800"/>
        <w:gridCol w:w="7226"/>
      </w:tblGrid>
      <w:tr w:rsidR="001F4F36" w14:paraId="5B5C89C7" w14:textId="77777777">
        <w:tblPrEx>
          <w:tblCellMar>
            <w:top w:w="0" w:type="dxa"/>
            <w:bottom w:w="0" w:type="dxa"/>
          </w:tblCellMar>
        </w:tblPrEx>
        <w:trPr>
          <w:tblHeader/>
        </w:trPr>
        <w:tc>
          <w:tcPr>
            <w:tcW w:w="1800" w:type="dxa"/>
            <w:shd w:val="clear" w:color="auto" w:fill="F4F5F7"/>
            <w:tcMar>
              <w:top w:w="100" w:type="dxa"/>
              <w:left w:w="120" w:type="dxa"/>
              <w:bottom w:w="100" w:type="dxa"/>
              <w:right w:w="120" w:type="dxa"/>
            </w:tcMar>
          </w:tcPr>
          <w:p w14:paraId="117D748C" w14:textId="77777777" w:rsidR="001F4F36" w:rsidRDefault="00000000">
            <w:pPr>
              <w:spacing w:line="300" w:lineRule="auto"/>
            </w:pPr>
            <w:r>
              <w:rPr>
                <w:rFonts w:ascii="Calibri" w:eastAsia="Calibri" w:hAnsi="Calibri" w:cs="Calibri"/>
                <w:b/>
                <w:bCs/>
                <w:color w:val="1A1D21"/>
                <w:sz w:val="19"/>
                <w:szCs w:val="19"/>
              </w:rPr>
              <w:t>Factor</w:t>
            </w:r>
          </w:p>
        </w:tc>
        <w:tc>
          <w:tcPr>
            <w:tcW w:w="7226" w:type="dxa"/>
            <w:shd w:val="clear" w:color="auto" w:fill="F4F5F7"/>
            <w:tcMar>
              <w:top w:w="100" w:type="dxa"/>
              <w:left w:w="120" w:type="dxa"/>
              <w:bottom w:w="100" w:type="dxa"/>
              <w:right w:w="120" w:type="dxa"/>
            </w:tcMar>
          </w:tcPr>
          <w:p w14:paraId="14ECCC0B" w14:textId="77777777" w:rsidR="001F4F36" w:rsidRDefault="00000000">
            <w:pPr>
              <w:spacing w:line="300" w:lineRule="auto"/>
            </w:pPr>
            <w:r>
              <w:rPr>
                <w:rFonts w:ascii="Calibri" w:eastAsia="Calibri" w:hAnsi="Calibri" w:cs="Calibri"/>
                <w:b/>
                <w:bCs/>
                <w:color w:val="1A1D21"/>
                <w:sz w:val="19"/>
                <w:szCs w:val="19"/>
              </w:rPr>
              <w:t>Detail</w:t>
            </w:r>
          </w:p>
        </w:tc>
      </w:tr>
      <w:tr w:rsidR="001F4F36" w14:paraId="5745F5E9" w14:textId="77777777">
        <w:tblPrEx>
          <w:tblCellMar>
            <w:top w:w="0" w:type="dxa"/>
            <w:bottom w:w="0" w:type="dxa"/>
          </w:tblCellMar>
        </w:tblPrEx>
        <w:tc>
          <w:tcPr>
            <w:tcW w:w="1800" w:type="dxa"/>
            <w:tcMar>
              <w:top w:w="100" w:type="dxa"/>
              <w:left w:w="120" w:type="dxa"/>
              <w:bottom w:w="100" w:type="dxa"/>
              <w:right w:w="120" w:type="dxa"/>
            </w:tcMar>
          </w:tcPr>
          <w:p w14:paraId="081E7196" w14:textId="77777777" w:rsidR="001F4F36" w:rsidRDefault="00000000">
            <w:pPr>
              <w:spacing w:line="300" w:lineRule="auto"/>
            </w:pPr>
            <w:r>
              <w:rPr>
                <w:rFonts w:ascii="Calibri" w:eastAsia="Calibri" w:hAnsi="Calibri" w:cs="Calibri"/>
                <w:color w:val="1A1D21"/>
                <w:sz w:val="19"/>
                <w:szCs w:val="19"/>
              </w:rPr>
              <w:t>Where</w:t>
            </w:r>
          </w:p>
        </w:tc>
        <w:tc>
          <w:tcPr>
            <w:tcW w:w="7226" w:type="dxa"/>
            <w:tcMar>
              <w:top w:w="100" w:type="dxa"/>
              <w:left w:w="120" w:type="dxa"/>
              <w:bottom w:w="100" w:type="dxa"/>
              <w:right w:w="120" w:type="dxa"/>
            </w:tcMar>
          </w:tcPr>
          <w:p w14:paraId="12F83640" w14:textId="77777777" w:rsidR="001F4F36" w:rsidRDefault="00000000">
            <w:pPr>
              <w:spacing w:line="300" w:lineRule="auto"/>
            </w:pPr>
            <w:r>
              <w:rPr>
                <w:rFonts w:ascii="Calibri" w:eastAsia="Calibri" w:hAnsi="Calibri" w:cs="Calibri"/>
                <w:color w:val="1A1D21"/>
                <w:sz w:val="19"/>
                <w:szCs w:val="19"/>
              </w:rPr>
              <w:t>Accessed from Canvas, on campus or at home. Not in a supervised lab session.</w:t>
            </w:r>
          </w:p>
        </w:tc>
      </w:tr>
      <w:tr w:rsidR="001F4F36" w14:paraId="76213AEB" w14:textId="77777777">
        <w:tblPrEx>
          <w:tblCellMar>
            <w:top w:w="0" w:type="dxa"/>
            <w:bottom w:w="0" w:type="dxa"/>
          </w:tblCellMar>
        </w:tblPrEx>
        <w:tc>
          <w:tcPr>
            <w:tcW w:w="1800" w:type="dxa"/>
            <w:tcMar>
              <w:top w:w="100" w:type="dxa"/>
              <w:left w:w="120" w:type="dxa"/>
              <w:bottom w:w="100" w:type="dxa"/>
              <w:right w:w="120" w:type="dxa"/>
            </w:tcMar>
          </w:tcPr>
          <w:p w14:paraId="31F7E27B" w14:textId="77777777" w:rsidR="001F4F36" w:rsidRDefault="00000000">
            <w:pPr>
              <w:spacing w:line="300" w:lineRule="auto"/>
            </w:pPr>
            <w:r>
              <w:rPr>
                <w:rFonts w:ascii="Calibri" w:eastAsia="Calibri" w:hAnsi="Calibri" w:cs="Calibri"/>
                <w:color w:val="1A1D21"/>
                <w:sz w:val="19"/>
                <w:szCs w:val="19"/>
              </w:rPr>
              <w:t>Device</w:t>
            </w:r>
          </w:p>
        </w:tc>
        <w:tc>
          <w:tcPr>
            <w:tcW w:w="7226" w:type="dxa"/>
            <w:tcMar>
              <w:top w:w="100" w:type="dxa"/>
              <w:left w:w="120" w:type="dxa"/>
              <w:bottom w:w="100" w:type="dxa"/>
              <w:right w:w="120" w:type="dxa"/>
            </w:tcMar>
          </w:tcPr>
          <w:p w14:paraId="0DB865AC" w14:textId="77777777" w:rsidR="001F4F36" w:rsidRDefault="00000000">
            <w:pPr>
              <w:spacing w:line="300" w:lineRule="auto"/>
            </w:pPr>
            <w:r>
              <w:rPr>
                <w:rFonts w:ascii="Calibri" w:eastAsia="Calibri" w:hAnsi="Calibri" w:cs="Calibri"/>
                <w:color w:val="1A1D21"/>
                <w:sz w:val="19"/>
                <w:szCs w:val="19"/>
              </w:rPr>
              <w:t>Desktop or laptop browser as the primary case; mobile browser supported. No installation.</w:t>
            </w:r>
          </w:p>
        </w:tc>
      </w:tr>
      <w:tr w:rsidR="001F4F36" w14:paraId="3DA6DD8A" w14:textId="77777777">
        <w:tblPrEx>
          <w:tblCellMar>
            <w:top w:w="0" w:type="dxa"/>
            <w:bottom w:w="0" w:type="dxa"/>
          </w:tblCellMar>
        </w:tblPrEx>
        <w:tc>
          <w:tcPr>
            <w:tcW w:w="1800" w:type="dxa"/>
            <w:tcMar>
              <w:top w:w="100" w:type="dxa"/>
              <w:left w:w="120" w:type="dxa"/>
              <w:bottom w:w="100" w:type="dxa"/>
              <w:right w:w="120" w:type="dxa"/>
            </w:tcMar>
          </w:tcPr>
          <w:p w14:paraId="73DE357D" w14:textId="77777777" w:rsidR="001F4F36" w:rsidRDefault="00000000">
            <w:pPr>
              <w:spacing w:line="300" w:lineRule="auto"/>
            </w:pPr>
            <w:r>
              <w:rPr>
                <w:rFonts w:ascii="Calibri" w:eastAsia="Calibri" w:hAnsi="Calibri" w:cs="Calibri"/>
                <w:color w:val="1A1D21"/>
                <w:sz w:val="19"/>
                <w:szCs w:val="19"/>
              </w:rPr>
              <w:t>Duration</w:t>
            </w:r>
          </w:p>
        </w:tc>
        <w:tc>
          <w:tcPr>
            <w:tcW w:w="7226" w:type="dxa"/>
            <w:tcMar>
              <w:top w:w="100" w:type="dxa"/>
              <w:left w:w="120" w:type="dxa"/>
              <w:bottom w:w="100" w:type="dxa"/>
              <w:right w:w="120" w:type="dxa"/>
            </w:tcMar>
          </w:tcPr>
          <w:p w14:paraId="2EB700CF" w14:textId="77777777" w:rsidR="001F4F36" w:rsidRDefault="00000000">
            <w:pPr>
              <w:spacing w:line="300" w:lineRule="auto"/>
            </w:pPr>
            <w:r>
              <w:rPr>
                <w:rFonts w:ascii="Calibri" w:eastAsia="Calibri" w:hAnsi="Calibri" w:cs="Calibri"/>
                <w:color w:val="1A1D21"/>
                <w:sz w:val="19"/>
                <w:szCs w:val="19"/>
              </w:rPr>
              <w:t>A single sitting, short enough to complete between other tasks.</w:t>
            </w:r>
          </w:p>
        </w:tc>
      </w:tr>
      <w:tr w:rsidR="001F4F36" w14:paraId="73F722BD" w14:textId="77777777">
        <w:tblPrEx>
          <w:tblCellMar>
            <w:top w:w="0" w:type="dxa"/>
            <w:bottom w:w="0" w:type="dxa"/>
          </w:tblCellMar>
        </w:tblPrEx>
        <w:tc>
          <w:tcPr>
            <w:tcW w:w="1800" w:type="dxa"/>
            <w:tcMar>
              <w:top w:w="100" w:type="dxa"/>
              <w:left w:w="120" w:type="dxa"/>
              <w:bottom w:w="100" w:type="dxa"/>
              <w:right w:w="120" w:type="dxa"/>
            </w:tcMar>
          </w:tcPr>
          <w:p w14:paraId="458DD6E4" w14:textId="77777777" w:rsidR="001F4F36" w:rsidRDefault="00000000">
            <w:pPr>
              <w:spacing w:line="300" w:lineRule="auto"/>
            </w:pPr>
            <w:r>
              <w:rPr>
                <w:rFonts w:ascii="Calibri" w:eastAsia="Calibri" w:hAnsi="Calibri" w:cs="Calibri"/>
                <w:color w:val="1A1D21"/>
                <w:sz w:val="19"/>
                <w:szCs w:val="19"/>
              </w:rPr>
              <w:t>Frequency</w:t>
            </w:r>
          </w:p>
        </w:tc>
        <w:tc>
          <w:tcPr>
            <w:tcW w:w="7226" w:type="dxa"/>
            <w:tcMar>
              <w:top w:w="100" w:type="dxa"/>
              <w:left w:w="120" w:type="dxa"/>
              <w:bottom w:w="100" w:type="dxa"/>
              <w:right w:w="120" w:type="dxa"/>
            </w:tcMar>
          </w:tcPr>
          <w:p w14:paraId="6D79C7E9" w14:textId="7C9FE6AB" w:rsidR="001F4F36" w:rsidRDefault="00000000">
            <w:pPr>
              <w:spacing w:line="300" w:lineRule="auto"/>
            </w:pPr>
            <w:r>
              <w:rPr>
                <w:rFonts w:ascii="Calibri" w:eastAsia="Calibri" w:hAnsi="Calibri" w:cs="Calibri"/>
                <w:color w:val="1A1D21"/>
                <w:sz w:val="19"/>
                <w:szCs w:val="19"/>
              </w:rPr>
              <w:t xml:space="preserve">Repeatable. A student may run it more than </w:t>
            </w:r>
            <w:r w:rsidR="00000BCA">
              <w:rPr>
                <w:rFonts w:ascii="Calibri" w:eastAsia="Calibri" w:hAnsi="Calibri" w:cs="Calibri"/>
                <w:color w:val="1A1D21"/>
                <w:sz w:val="19"/>
                <w:szCs w:val="19"/>
              </w:rPr>
              <w:t>once and</w:t>
            </w:r>
            <w:r>
              <w:rPr>
                <w:rFonts w:ascii="Calibri" w:eastAsia="Calibri" w:hAnsi="Calibri" w:cs="Calibri"/>
                <w:color w:val="1A1D21"/>
                <w:sz w:val="19"/>
                <w:szCs w:val="19"/>
              </w:rPr>
              <w:t xml:space="preserve"> may reach a different ending.</w:t>
            </w:r>
          </w:p>
        </w:tc>
      </w:tr>
      <w:tr w:rsidR="001F4F36" w14:paraId="00ECCD15" w14:textId="77777777">
        <w:tblPrEx>
          <w:tblCellMar>
            <w:top w:w="0" w:type="dxa"/>
            <w:bottom w:w="0" w:type="dxa"/>
          </w:tblCellMar>
        </w:tblPrEx>
        <w:tc>
          <w:tcPr>
            <w:tcW w:w="1800" w:type="dxa"/>
            <w:tcMar>
              <w:top w:w="100" w:type="dxa"/>
              <w:left w:w="120" w:type="dxa"/>
              <w:bottom w:w="100" w:type="dxa"/>
              <w:right w:w="120" w:type="dxa"/>
            </w:tcMar>
          </w:tcPr>
          <w:p w14:paraId="6AFC987B" w14:textId="77777777" w:rsidR="001F4F36" w:rsidRDefault="00000000">
            <w:pPr>
              <w:spacing w:line="300" w:lineRule="auto"/>
            </w:pPr>
            <w:r>
              <w:rPr>
                <w:rFonts w:ascii="Calibri" w:eastAsia="Calibri" w:hAnsi="Calibri" w:cs="Calibri"/>
                <w:color w:val="1A1D21"/>
                <w:sz w:val="19"/>
                <w:szCs w:val="19"/>
              </w:rPr>
              <w:t>Supervision</w:t>
            </w:r>
          </w:p>
        </w:tc>
        <w:tc>
          <w:tcPr>
            <w:tcW w:w="7226" w:type="dxa"/>
            <w:tcMar>
              <w:top w:w="100" w:type="dxa"/>
              <w:left w:w="120" w:type="dxa"/>
              <w:bottom w:w="100" w:type="dxa"/>
              <w:right w:w="120" w:type="dxa"/>
            </w:tcMar>
          </w:tcPr>
          <w:p w14:paraId="77728F35" w14:textId="77777777" w:rsidR="001F4F36" w:rsidRDefault="00000000">
            <w:pPr>
              <w:spacing w:line="300" w:lineRule="auto"/>
            </w:pPr>
            <w:r>
              <w:rPr>
                <w:rFonts w:ascii="Calibri" w:eastAsia="Calibri" w:hAnsi="Calibri" w:cs="Calibri"/>
                <w:color w:val="1A1D21"/>
                <w:sz w:val="19"/>
                <w:szCs w:val="19"/>
              </w:rPr>
              <w:t>None. No educator present to debrief, so the simulation must debrief the student itself.</w:t>
            </w:r>
          </w:p>
        </w:tc>
      </w:tr>
      <w:tr w:rsidR="001F4F36" w14:paraId="1EFCD004" w14:textId="77777777">
        <w:tblPrEx>
          <w:tblCellMar>
            <w:top w:w="0" w:type="dxa"/>
            <w:bottom w:w="0" w:type="dxa"/>
          </w:tblCellMar>
        </w:tblPrEx>
        <w:tc>
          <w:tcPr>
            <w:tcW w:w="1800" w:type="dxa"/>
            <w:tcMar>
              <w:top w:w="100" w:type="dxa"/>
              <w:left w:w="120" w:type="dxa"/>
              <w:bottom w:w="100" w:type="dxa"/>
              <w:right w:w="120" w:type="dxa"/>
            </w:tcMar>
          </w:tcPr>
          <w:p w14:paraId="1784569A" w14:textId="77777777" w:rsidR="001F4F36" w:rsidRDefault="00000000">
            <w:pPr>
              <w:spacing w:line="300" w:lineRule="auto"/>
            </w:pPr>
            <w:r>
              <w:rPr>
                <w:rFonts w:ascii="Calibri" w:eastAsia="Calibri" w:hAnsi="Calibri" w:cs="Calibri"/>
                <w:color w:val="1A1D21"/>
                <w:sz w:val="19"/>
                <w:szCs w:val="19"/>
              </w:rPr>
              <w:t>Stakes</w:t>
            </w:r>
          </w:p>
        </w:tc>
        <w:tc>
          <w:tcPr>
            <w:tcW w:w="7226" w:type="dxa"/>
            <w:tcMar>
              <w:top w:w="100" w:type="dxa"/>
              <w:left w:w="120" w:type="dxa"/>
              <w:bottom w:w="100" w:type="dxa"/>
              <w:right w:w="120" w:type="dxa"/>
            </w:tcMar>
          </w:tcPr>
          <w:p w14:paraId="4AFB1FB9" w14:textId="77777777" w:rsidR="001F4F36" w:rsidRDefault="00000000">
            <w:pPr>
              <w:spacing w:line="300" w:lineRule="auto"/>
            </w:pPr>
            <w:r>
              <w:rPr>
                <w:rFonts w:ascii="Calibri" w:eastAsia="Calibri" w:hAnsi="Calibri" w:cs="Calibri"/>
                <w:color w:val="1A1D21"/>
                <w:sz w:val="19"/>
                <w:szCs w:val="19"/>
              </w:rPr>
              <w:t>Formative only. No grade, no record, no assessment data retained.</w:t>
            </w:r>
          </w:p>
        </w:tc>
      </w:tr>
    </w:tbl>
    <w:p w14:paraId="63C4F67A" w14:textId="518011AF" w:rsidR="001F4F36" w:rsidRDefault="00000000">
      <w:pPr>
        <w:spacing w:after="40" w:line="300" w:lineRule="auto"/>
      </w:pPr>
      <w:r>
        <w:rPr>
          <w:rFonts w:ascii="Calibri" w:eastAsia="Calibri" w:hAnsi="Calibri" w:cs="Calibri"/>
          <w:color w:val="1A1D21"/>
          <w:sz w:val="21"/>
          <w:szCs w:val="21"/>
        </w:rPr>
        <w:lastRenderedPageBreak/>
        <w:t xml:space="preserve">The unsupervised, self-directed context is the most consequential of these. Without an educator present, everything a debrief would normally </w:t>
      </w:r>
      <w:r w:rsidR="00000BCA">
        <w:rPr>
          <w:rFonts w:ascii="Calibri" w:eastAsia="Calibri" w:hAnsi="Calibri" w:cs="Calibri"/>
          <w:color w:val="1A1D21"/>
          <w:sz w:val="21"/>
          <w:szCs w:val="21"/>
        </w:rPr>
        <w:t>provide validation</w:t>
      </w:r>
      <w:r>
        <w:rPr>
          <w:rFonts w:ascii="Calibri" w:eastAsia="Calibri" w:hAnsi="Calibri" w:cs="Calibri"/>
          <w:color w:val="1A1D21"/>
          <w:sz w:val="21"/>
          <w:szCs w:val="21"/>
        </w:rPr>
        <w:t>, explanation, next steps, and reassurance for a student who found it distressing</w:t>
      </w:r>
      <w:r w:rsidR="00000BCA">
        <w:rPr>
          <w:rFonts w:ascii="Calibri" w:eastAsia="Calibri" w:hAnsi="Calibri" w:cs="Calibri"/>
          <w:color w:val="1A1D21"/>
          <w:sz w:val="21"/>
          <w:szCs w:val="21"/>
        </w:rPr>
        <w:t>, must</w:t>
      </w:r>
      <w:r>
        <w:rPr>
          <w:rFonts w:ascii="Calibri" w:eastAsia="Calibri" w:hAnsi="Calibri" w:cs="Calibri"/>
          <w:color w:val="1A1D21"/>
          <w:sz w:val="21"/>
          <w:szCs w:val="21"/>
        </w:rPr>
        <w:t xml:space="preserve"> be carried by the outcome screens themselves.</w:t>
      </w:r>
    </w:p>
    <w:p w14:paraId="16309C09" w14:textId="77777777" w:rsidR="001F4F36" w:rsidRDefault="00000000">
      <w:pPr>
        <w:pStyle w:val="Heading2"/>
        <w:spacing w:before="380" w:after="120"/>
      </w:pPr>
      <w:r>
        <w:rPr>
          <w:rFonts w:ascii="Calibri" w:eastAsia="Calibri" w:hAnsi="Calibri" w:cs="Calibri"/>
          <w:b/>
          <w:bCs/>
          <w:sz w:val="25"/>
          <w:szCs w:val="25"/>
        </w:rPr>
        <w:t>4.  Experience principles</w:t>
      </w:r>
    </w:p>
    <w:p w14:paraId="61DEC675" w14:textId="77777777" w:rsidR="001F4F36" w:rsidRDefault="00000000">
      <w:pPr>
        <w:spacing w:after="140" w:line="300" w:lineRule="auto"/>
      </w:pPr>
      <w:r>
        <w:rPr>
          <w:rFonts w:ascii="Calibri" w:eastAsia="Calibri" w:hAnsi="Calibri" w:cs="Calibri"/>
          <w:color w:val="1A1D21"/>
          <w:sz w:val="21"/>
          <w:szCs w:val="21"/>
        </w:rPr>
        <w:t>These are the standards each design decision is checked against. Where two conflict, the one higher in this list takes precedence.</w:t>
      </w:r>
    </w:p>
    <w:p w14:paraId="3A705165" w14:textId="203203B3" w:rsidR="001F4F36" w:rsidRDefault="00000000">
      <w:pPr>
        <w:spacing w:after="40" w:line="300" w:lineRule="auto"/>
      </w:pPr>
      <w:r>
        <w:rPr>
          <w:rFonts w:ascii="Calibri" w:eastAsia="Calibri" w:hAnsi="Calibri" w:cs="Calibri"/>
          <w:b/>
          <w:bCs/>
          <w:color w:val="1A1D21"/>
          <w:sz w:val="21"/>
          <w:szCs w:val="21"/>
        </w:rPr>
        <w:t xml:space="preserve">Pressure </w:t>
      </w:r>
      <w:r w:rsidR="00000BCA">
        <w:rPr>
          <w:rFonts w:ascii="Calibri" w:eastAsia="Calibri" w:hAnsi="Calibri" w:cs="Calibri"/>
          <w:b/>
          <w:bCs/>
          <w:color w:val="1A1D21"/>
          <w:sz w:val="21"/>
          <w:szCs w:val="21"/>
        </w:rPr>
        <w:t>must</w:t>
      </w:r>
      <w:r>
        <w:rPr>
          <w:rFonts w:ascii="Calibri" w:eastAsia="Calibri" w:hAnsi="Calibri" w:cs="Calibri"/>
          <w:b/>
          <w:bCs/>
          <w:color w:val="1A1D21"/>
          <w:sz w:val="21"/>
          <w:szCs w:val="21"/>
        </w:rPr>
        <w:t xml:space="preserve"> be real</w:t>
      </w:r>
    </w:p>
    <w:p w14:paraId="01EF4FD6" w14:textId="77777777" w:rsidR="001F4F36" w:rsidRDefault="00000000">
      <w:pPr>
        <w:spacing w:after="160" w:line="300" w:lineRule="auto"/>
        <w:ind w:left="360"/>
      </w:pPr>
      <w:r>
        <w:rPr>
          <w:rFonts w:ascii="Calibri" w:eastAsia="Calibri" w:hAnsi="Calibri" w:cs="Calibri"/>
          <w:color w:val="5F6570"/>
          <w:sz w:val="21"/>
          <w:szCs w:val="21"/>
        </w:rPr>
        <w:t>If Sandra is easy to refuse, the scenario teaches nothing. The discomfort is the mechanism, not a side effect.</w:t>
      </w:r>
    </w:p>
    <w:p w14:paraId="54D66470" w14:textId="77777777" w:rsidR="001F4F36" w:rsidRDefault="00000000">
      <w:pPr>
        <w:spacing w:after="40" w:line="300" w:lineRule="auto"/>
      </w:pPr>
      <w:r>
        <w:rPr>
          <w:rFonts w:ascii="Calibri" w:eastAsia="Calibri" w:hAnsi="Calibri" w:cs="Calibri"/>
          <w:b/>
          <w:bCs/>
          <w:color w:val="1A1D21"/>
          <w:sz w:val="21"/>
          <w:szCs w:val="21"/>
        </w:rPr>
        <w:t>Safety comes at the end, not during</w:t>
      </w:r>
    </w:p>
    <w:p w14:paraId="3FD7F029" w14:textId="77777777" w:rsidR="001F4F36" w:rsidRDefault="00000000">
      <w:pPr>
        <w:spacing w:after="160" w:line="300" w:lineRule="auto"/>
        <w:ind w:left="360"/>
      </w:pPr>
      <w:r>
        <w:rPr>
          <w:rFonts w:ascii="Calibri" w:eastAsia="Calibri" w:hAnsi="Calibri" w:cs="Calibri"/>
          <w:color w:val="5F6570"/>
          <w:sz w:val="21"/>
          <w:szCs w:val="21"/>
        </w:rPr>
        <w:t>The student is not reassured while in the scenario. All validation, teaching and resolution live on the outcome screens.</w:t>
      </w:r>
    </w:p>
    <w:p w14:paraId="5A252CB6" w14:textId="77777777" w:rsidR="001F4F36" w:rsidRDefault="00000000">
      <w:pPr>
        <w:spacing w:after="40" w:line="300" w:lineRule="auto"/>
      </w:pPr>
      <w:r>
        <w:rPr>
          <w:rFonts w:ascii="Calibri" w:eastAsia="Calibri" w:hAnsi="Calibri" w:cs="Calibri"/>
          <w:b/>
          <w:bCs/>
          <w:color w:val="1A1D21"/>
          <w:sz w:val="21"/>
          <w:szCs w:val="21"/>
        </w:rPr>
        <w:t>The student is never shamed</w:t>
      </w:r>
    </w:p>
    <w:p w14:paraId="5F311775" w14:textId="77777777" w:rsidR="001F4F36" w:rsidRDefault="00000000">
      <w:pPr>
        <w:spacing w:after="160" w:line="300" w:lineRule="auto"/>
        <w:ind w:left="360"/>
      </w:pPr>
      <w:r>
        <w:rPr>
          <w:rFonts w:ascii="Calibri" w:eastAsia="Calibri" w:hAnsi="Calibri" w:cs="Calibri"/>
          <w:color w:val="5F6570"/>
          <w:sz w:val="21"/>
          <w:szCs w:val="21"/>
        </w:rPr>
        <w:t>A student who complies was pressured by a senior colleague. The outcome explains the error without judging the person.</w:t>
      </w:r>
    </w:p>
    <w:p w14:paraId="795DDF6F" w14:textId="77777777" w:rsidR="001F4F36" w:rsidRDefault="00000000">
      <w:pPr>
        <w:spacing w:after="40" w:line="300" w:lineRule="auto"/>
      </w:pPr>
      <w:r>
        <w:rPr>
          <w:rFonts w:ascii="Calibri" w:eastAsia="Calibri" w:hAnsi="Calibri" w:cs="Calibri"/>
          <w:b/>
          <w:bCs/>
          <w:color w:val="1A1D21"/>
          <w:sz w:val="21"/>
          <w:szCs w:val="21"/>
        </w:rPr>
        <w:t>No scoring or ranking</w:t>
      </w:r>
    </w:p>
    <w:p w14:paraId="21518FCD" w14:textId="77777777" w:rsidR="001F4F36" w:rsidRDefault="00000000">
      <w:pPr>
        <w:spacing w:after="160" w:line="300" w:lineRule="auto"/>
        <w:ind w:left="360"/>
      </w:pPr>
      <w:r>
        <w:rPr>
          <w:rFonts w:ascii="Calibri" w:eastAsia="Calibri" w:hAnsi="Calibri" w:cs="Calibri"/>
          <w:color w:val="5F6570"/>
          <w:sz w:val="21"/>
          <w:szCs w:val="21"/>
        </w:rPr>
        <w:t>Formative practice. Introducing a score would change how students answer — they would play the system rather than respond honestly.</w:t>
      </w:r>
    </w:p>
    <w:p w14:paraId="5106634B" w14:textId="77777777" w:rsidR="001F4F36" w:rsidRDefault="00000000">
      <w:pPr>
        <w:spacing w:after="40" w:line="300" w:lineRule="auto"/>
      </w:pPr>
      <w:r>
        <w:rPr>
          <w:rFonts w:ascii="Calibri" w:eastAsia="Calibri" w:hAnsi="Calibri" w:cs="Calibri"/>
          <w:b/>
          <w:bCs/>
          <w:color w:val="1A1D21"/>
          <w:sz w:val="21"/>
          <w:szCs w:val="21"/>
        </w:rPr>
        <w:t>Leaving is always available</w:t>
      </w:r>
    </w:p>
    <w:p w14:paraId="7D1C1A72" w14:textId="77777777" w:rsidR="001F4F36" w:rsidRDefault="00000000">
      <w:pPr>
        <w:spacing w:after="160" w:line="300" w:lineRule="auto"/>
        <w:ind w:left="360"/>
      </w:pPr>
      <w:r>
        <w:rPr>
          <w:rFonts w:ascii="Calibri" w:eastAsia="Calibri" w:hAnsi="Calibri" w:cs="Calibri"/>
          <w:color w:val="5F6570"/>
          <w:sz w:val="21"/>
          <w:szCs w:val="21"/>
        </w:rPr>
        <w:t>The scenario is deliberately confronting. A student must be able to stop at any point without consequence or verdict.</w:t>
      </w:r>
    </w:p>
    <w:p w14:paraId="3A2F7E53" w14:textId="77777777" w:rsidR="001F4F36" w:rsidRDefault="00000000">
      <w:pPr>
        <w:spacing w:after="40" w:line="300" w:lineRule="auto"/>
      </w:pPr>
      <w:r>
        <w:rPr>
          <w:rFonts w:ascii="Calibri" w:eastAsia="Calibri" w:hAnsi="Calibri" w:cs="Calibri"/>
          <w:b/>
          <w:bCs/>
          <w:color w:val="1A1D21"/>
          <w:sz w:val="21"/>
          <w:szCs w:val="21"/>
        </w:rPr>
        <w:t>The student’s words are their own</w:t>
      </w:r>
    </w:p>
    <w:p w14:paraId="4B0E1A2E" w14:textId="77777777" w:rsidR="001F4F36" w:rsidRDefault="00000000">
      <w:pPr>
        <w:spacing w:after="160" w:line="300" w:lineRule="auto"/>
        <w:ind w:left="360"/>
      </w:pPr>
      <w:r>
        <w:rPr>
          <w:rFonts w:ascii="Calibri" w:eastAsia="Calibri" w:hAnsi="Calibri" w:cs="Calibri"/>
          <w:color w:val="5F6570"/>
          <w:sz w:val="21"/>
          <w:szCs w:val="21"/>
        </w:rPr>
        <w:t>Free text, no suggested phrasings. The learning objective is to find the words, so supplying them would defeat it.</w:t>
      </w:r>
    </w:p>
    <w:p w14:paraId="770F435B" w14:textId="77777777" w:rsidR="001F4F36" w:rsidRDefault="00000000">
      <w:pPr>
        <w:pStyle w:val="Heading2"/>
        <w:spacing w:before="380" w:after="120"/>
      </w:pPr>
      <w:r>
        <w:rPr>
          <w:rFonts w:ascii="Calibri" w:eastAsia="Calibri" w:hAnsi="Calibri" w:cs="Calibri"/>
          <w:b/>
          <w:bCs/>
          <w:sz w:val="25"/>
          <w:szCs w:val="25"/>
        </w:rPr>
        <w:t>5.  What the experience must never do</w:t>
      </w:r>
    </w:p>
    <w:p w14:paraId="1F97E270" w14:textId="77777777" w:rsidR="001F4F36" w:rsidRDefault="00000000">
      <w:pPr>
        <w:pStyle w:val="ListParagraph"/>
        <w:numPr>
          <w:ilvl w:val="0"/>
          <w:numId w:val="2"/>
        </w:numPr>
        <w:spacing w:after="90" w:line="290" w:lineRule="auto"/>
      </w:pPr>
      <w:r>
        <w:rPr>
          <w:rFonts w:ascii="Calibri" w:eastAsia="Calibri" w:hAnsi="Calibri" w:cs="Calibri"/>
          <w:b/>
          <w:bCs/>
          <w:color w:val="1A1D21"/>
        </w:rPr>
        <w:t>Teach in character.</w:t>
      </w:r>
      <w:r>
        <w:rPr>
          <w:rFonts w:ascii="Calibri" w:eastAsia="Calibri" w:hAnsi="Calibri" w:cs="Calibri"/>
          <w:color w:val="1A1D21"/>
        </w:rPr>
        <w:t xml:space="preserve"> Sandra never explains, never validates the refusal, and never breaks to offer guidance. Teaching that arrives during the scenario removes the pressure the scenario depends on.</w:t>
      </w:r>
    </w:p>
    <w:p w14:paraId="20D69737" w14:textId="77777777" w:rsidR="001F4F36" w:rsidRDefault="00000000">
      <w:pPr>
        <w:pStyle w:val="ListParagraph"/>
        <w:numPr>
          <w:ilvl w:val="0"/>
          <w:numId w:val="2"/>
        </w:numPr>
        <w:spacing w:after="90" w:line="290" w:lineRule="auto"/>
      </w:pPr>
      <w:r>
        <w:rPr>
          <w:rFonts w:ascii="Calibri" w:eastAsia="Calibri" w:hAnsi="Calibri" w:cs="Calibri"/>
          <w:b/>
          <w:bCs/>
          <w:color w:val="1A1D21"/>
        </w:rPr>
        <w:t>Grade or score.</w:t>
      </w:r>
      <w:r>
        <w:rPr>
          <w:rFonts w:ascii="Calibri" w:eastAsia="Calibri" w:hAnsi="Calibri" w:cs="Calibri"/>
          <w:color w:val="1A1D21"/>
        </w:rPr>
        <w:t xml:space="preserve"> No marks, no percentages, no pass or fail.</w:t>
      </w:r>
    </w:p>
    <w:p w14:paraId="6373D91E" w14:textId="77777777" w:rsidR="001F4F36" w:rsidRDefault="00000000">
      <w:pPr>
        <w:pStyle w:val="ListParagraph"/>
        <w:numPr>
          <w:ilvl w:val="0"/>
          <w:numId w:val="2"/>
        </w:numPr>
        <w:spacing w:after="90" w:line="290" w:lineRule="auto"/>
      </w:pPr>
      <w:r>
        <w:rPr>
          <w:rFonts w:ascii="Calibri" w:eastAsia="Calibri" w:hAnsi="Calibri" w:cs="Calibri"/>
          <w:b/>
          <w:bCs/>
          <w:color w:val="1A1D21"/>
        </w:rPr>
        <w:t>Reveal how many refusals are needed.</w:t>
      </w:r>
      <w:r>
        <w:rPr>
          <w:rFonts w:ascii="Calibri" w:eastAsia="Calibri" w:hAnsi="Calibri" w:cs="Calibri"/>
          <w:color w:val="1A1D21"/>
        </w:rPr>
        <w:t xml:space="preserve"> No progress indicator and no visual escalation cue. Either would tell the student how to complete the scenario rather than how to handle it.</w:t>
      </w:r>
    </w:p>
    <w:p w14:paraId="6E5D4051" w14:textId="77777777" w:rsidR="001F4F36" w:rsidRDefault="00000000">
      <w:pPr>
        <w:pStyle w:val="ListParagraph"/>
        <w:numPr>
          <w:ilvl w:val="0"/>
          <w:numId w:val="2"/>
        </w:numPr>
        <w:spacing w:after="90" w:line="290" w:lineRule="auto"/>
      </w:pPr>
      <w:r>
        <w:rPr>
          <w:rFonts w:ascii="Calibri" w:eastAsia="Calibri" w:hAnsi="Calibri" w:cs="Calibri"/>
          <w:b/>
          <w:bCs/>
          <w:color w:val="1A1D21"/>
        </w:rPr>
        <w:t>Trap a distressed student.</w:t>
      </w:r>
      <w:r>
        <w:rPr>
          <w:rFonts w:ascii="Calibri" w:eastAsia="Calibri" w:hAnsi="Calibri" w:cs="Calibri"/>
          <w:color w:val="1A1D21"/>
        </w:rPr>
        <w:t xml:space="preserve"> The exit is always reachable, and taking it produces no verdict.</w:t>
      </w:r>
    </w:p>
    <w:p w14:paraId="0A795D43" w14:textId="77777777" w:rsidR="001F4F36" w:rsidRDefault="00000000">
      <w:pPr>
        <w:pStyle w:val="ListParagraph"/>
        <w:numPr>
          <w:ilvl w:val="0"/>
          <w:numId w:val="2"/>
        </w:numPr>
        <w:spacing w:after="90" w:line="290" w:lineRule="auto"/>
      </w:pPr>
      <w:r>
        <w:rPr>
          <w:rFonts w:ascii="Calibri" w:eastAsia="Calibri" w:hAnsi="Calibri" w:cs="Calibri"/>
          <w:b/>
          <w:bCs/>
          <w:color w:val="1A1D21"/>
        </w:rPr>
        <w:t>Supply the words.</w:t>
      </w:r>
      <w:r>
        <w:rPr>
          <w:rFonts w:ascii="Calibri" w:eastAsia="Calibri" w:hAnsi="Calibri" w:cs="Calibri"/>
          <w:color w:val="1A1D21"/>
        </w:rPr>
        <w:t xml:space="preserve"> No suggested phrasings, no multiple choice.</w:t>
      </w:r>
    </w:p>
    <w:p w14:paraId="6CFB9427" w14:textId="77777777" w:rsidR="001F4F36" w:rsidRDefault="00000000">
      <w:pPr>
        <w:pStyle w:val="Heading2"/>
        <w:spacing w:before="380" w:after="120"/>
      </w:pPr>
      <w:r>
        <w:rPr>
          <w:rFonts w:ascii="Calibri" w:eastAsia="Calibri" w:hAnsi="Calibri" w:cs="Calibri"/>
          <w:b/>
          <w:bCs/>
          <w:sz w:val="25"/>
          <w:szCs w:val="25"/>
        </w:rPr>
        <w:t>6.  Success criteria</w:t>
      </w:r>
    </w:p>
    <w:p w14:paraId="0A6F7A95" w14:textId="77777777" w:rsidR="001F4F36" w:rsidRDefault="00000000">
      <w:pPr>
        <w:spacing w:after="140" w:line="300" w:lineRule="auto"/>
      </w:pPr>
      <w:r>
        <w:rPr>
          <w:rFonts w:ascii="Calibri" w:eastAsia="Calibri" w:hAnsi="Calibri" w:cs="Calibri"/>
          <w:color w:val="1A1D21"/>
          <w:sz w:val="21"/>
          <w:szCs w:val="21"/>
        </w:rPr>
        <w:t>What the simulation is trying to achieve, and how you would know it had.</w:t>
      </w:r>
    </w:p>
    <w:tbl>
      <w:tblPr>
        <w:tblW w:w="9026" w:type="dxa"/>
        <w:tblBorders>
          <w:top w:val="single" w:sz="4" w:space="0" w:color="DFE2E6"/>
          <w:left w:val="none" w:sz="0" w:space="0" w:color="FFFFFF"/>
          <w:bottom w:val="single" w:sz="4" w:space="0" w:color="DFE2E6"/>
          <w:right w:val="none" w:sz="0" w:space="0" w:color="FFFFFF"/>
          <w:insideH w:val="single" w:sz="4" w:space="0" w:color="DFE2E6"/>
          <w:insideV w:val="none" w:sz="0" w:space="0" w:color="FFFFFF"/>
        </w:tblBorders>
        <w:tblCellMar>
          <w:left w:w="10" w:type="dxa"/>
          <w:right w:w="10" w:type="dxa"/>
        </w:tblCellMar>
        <w:tblLook w:val="04A0" w:firstRow="1" w:lastRow="0" w:firstColumn="1" w:lastColumn="0" w:noHBand="0" w:noVBand="1"/>
      </w:tblPr>
      <w:tblGrid>
        <w:gridCol w:w="4400"/>
        <w:gridCol w:w="4626"/>
      </w:tblGrid>
      <w:tr w:rsidR="001F4F36" w14:paraId="43613602" w14:textId="77777777">
        <w:tblPrEx>
          <w:tblCellMar>
            <w:top w:w="0" w:type="dxa"/>
            <w:bottom w:w="0" w:type="dxa"/>
          </w:tblCellMar>
        </w:tblPrEx>
        <w:trPr>
          <w:tblHeader/>
        </w:trPr>
        <w:tc>
          <w:tcPr>
            <w:tcW w:w="4400" w:type="dxa"/>
            <w:shd w:val="clear" w:color="auto" w:fill="F4F5F7"/>
            <w:tcMar>
              <w:top w:w="100" w:type="dxa"/>
              <w:left w:w="120" w:type="dxa"/>
              <w:bottom w:w="100" w:type="dxa"/>
              <w:right w:w="120" w:type="dxa"/>
            </w:tcMar>
          </w:tcPr>
          <w:p w14:paraId="71BE5482" w14:textId="77777777" w:rsidR="001F4F36" w:rsidRDefault="00000000">
            <w:pPr>
              <w:spacing w:line="300" w:lineRule="auto"/>
            </w:pPr>
            <w:r>
              <w:rPr>
                <w:rFonts w:ascii="Calibri" w:eastAsia="Calibri" w:hAnsi="Calibri" w:cs="Calibri"/>
                <w:b/>
                <w:bCs/>
                <w:color w:val="1A1D21"/>
                <w:sz w:val="19"/>
                <w:szCs w:val="19"/>
              </w:rPr>
              <w:lastRenderedPageBreak/>
              <w:t>Intended outcome</w:t>
            </w:r>
          </w:p>
        </w:tc>
        <w:tc>
          <w:tcPr>
            <w:tcW w:w="4626" w:type="dxa"/>
            <w:shd w:val="clear" w:color="auto" w:fill="F4F5F7"/>
            <w:tcMar>
              <w:top w:w="100" w:type="dxa"/>
              <w:left w:w="120" w:type="dxa"/>
              <w:bottom w:w="100" w:type="dxa"/>
              <w:right w:w="120" w:type="dxa"/>
            </w:tcMar>
          </w:tcPr>
          <w:p w14:paraId="2DBCE9C7" w14:textId="77777777" w:rsidR="001F4F36" w:rsidRDefault="00000000">
            <w:pPr>
              <w:spacing w:line="300" w:lineRule="auto"/>
            </w:pPr>
            <w:r>
              <w:rPr>
                <w:rFonts w:ascii="Calibri" w:eastAsia="Calibri" w:hAnsi="Calibri" w:cs="Calibri"/>
                <w:b/>
                <w:bCs/>
                <w:color w:val="1A1D21"/>
                <w:sz w:val="19"/>
                <w:szCs w:val="19"/>
              </w:rPr>
              <w:t>How it would show</w:t>
            </w:r>
          </w:p>
        </w:tc>
      </w:tr>
      <w:tr w:rsidR="001F4F36" w14:paraId="7B92F7DC" w14:textId="77777777">
        <w:tblPrEx>
          <w:tblCellMar>
            <w:top w:w="0" w:type="dxa"/>
            <w:bottom w:w="0" w:type="dxa"/>
          </w:tblCellMar>
        </w:tblPrEx>
        <w:tc>
          <w:tcPr>
            <w:tcW w:w="4400" w:type="dxa"/>
            <w:tcMar>
              <w:top w:w="100" w:type="dxa"/>
              <w:left w:w="120" w:type="dxa"/>
              <w:bottom w:w="100" w:type="dxa"/>
              <w:right w:w="120" w:type="dxa"/>
            </w:tcMar>
          </w:tcPr>
          <w:p w14:paraId="0361C5D8" w14:textId="77777777" w:rsidR="001F4F36" w:rsidRDefault="00000000">
            <w:pPr>
              <w:spacing w:line="300" w:lineRule="auto"/>
            </w:pPr>
            <w:r>
              <w:rPr>
                <w:rFonts w:ascii="Calibri" w:eastAsia="Calibri" w:hAnsi="Calibri" w:cs="Calibri"/>
                <w:color w:val="1A1D21"/>
                <w:sz w:val="19"/>
                <w:szCs w:val="19"/>
              </w:rPr>
              <w:t>The student recognises the task is outside their scope</w:t>
            </w:r>
          </w:p>
        </w:tc>
        <w:tc>
          <w:tcPr>
            <w:tcW w:w="4626" w:type="dxa"/>
            <w:tcMar>
              <w:top w:w="100" w:type="dxa"/>
              <w:left w:w="120" w:type="dxa"/>
              <w:bottom w:w="100" w:type="dxa"/>
              <w:right w:w="120" w:type="dxa"/>
            </w:tcMar>
          </w:tcPr>
          <w:p w14:paraId="58EF9E26" w14:textId="77777777" w:rsidR="001F4F36" w:rsidRDefault="00000000">
            <w:pPr>
              <w:spacing w:line="300" w:lineRule="auto"/>
            </w:pPr>
            <w:r>
              <w:rPr>
                <w:rFonts w:ascii="Calibri" w:eastAsia="Calibri" w:hAnsi="Calibri" w:cs="Calibri"/>
                <w:color w:val="1A1D21"/>
                <w:sz w:val="19"/>
                <w:szCs w:val="19"/>
              </w:rPr>
              <w:t>They refuse, or on the outcome screen identify why they should have.</w:t>
            </w:r>
          </w:p>
        </w:tc>
      </w:tr>
      <w:tr w:rsidR="001F4F36" w14:paraId="0594BC87" w14:textId="77777777">
        <w:tblPrEx>
          <w:tblCellMar>
            <w:top w:w="0" w:type="dxa"/>
            <w:bottom w:w="0" w:type="dxa"/>
          </w:tblCellMar>
        </w:tblPrEx>
        <w:tc>
          <w:tcPr>
            <w:tcW w:w="4400" w:type="dxa"/>
            <w:tcMar>
              <w:top w:w="100" w:type="dxa"/>
              <w:left w:w="120" w:type="dxa"/>
              <w:bottom w:w="100" w:type="dxa"/>
              <w:right w:w="120" w:type="dxa"/>
            </w:tcMar>
          </w:tcPr>
          <w:p w14:paraId="503BADE1" w14:textId="77777777" w:rsidR="001F4F36" w:rsidRDefault="00000000">
            <w:pPr>
              <w:spacing w:line="300" w:lineRule="auto"/>
            </w:pPr>
            <w:r>
              <w:rPr>
                <w:rFonts w:ascii="Calibri" w:eastAsia="Calibri" w:hAnsi="Calibri" w:cs="Calibri"/>
                <w:color w:val="1A1D21"/>
                <w:sz w:val="19"/>
                <w:szCs w:val="19"/>
              </w:rPr>
              <w:t>They can articulate a refusal in their own words</w:t>
            </w:r>
          </w:p>
        </w:tc>
        <w:tc>
          <w:tcPr>
            <w:tcW w:w="4626" w:type="dxa"/>
            <w:tcMar>
              <w:top w:w="100" w:type="dxa"/>
              <w:left w:w="120" w:type="dxa"/>
              <w:bottom w:w="100" w:type="dxa"/>
              <w:right w:w="120" w:type="dxa"/>
            </w:tcMar>
          </w:tcPr>
          <w:p w14:paraId="1C8A6D6D" w14:textId="77777777" w:rsidR="001F4F36" w:rsidRDefault="00000000">
            <w:pPr>
              <w:spacing w:line="300" w:lineRule="auto"/>
            </w:pPr>
            <w:r>
              <w:rPr>
                <w:rFonts w:ascii="Calibri" w:eastAsia="Calibri" w:hAnsi="Calibri" w:cs="Calibri"/>
                <w:color w:val="1A1D21"/>
                <w:sz w:val="19"/>
                <w:szCs w:val="19"/>
              </w:rPr>
              <w:t>Their typed responses cite scope, competency or assessment — not just "no".</w:t>
            </w:r>
          </w:p>
        </w:tc>
      </w:tr>
      <w:tr w:rsidR="001F4F36" w14:paraId="1696D58D" w14:textId="77777777">
        <w:tblPrEx>
          <w:tblCellMar>
            <w:top w:w="0" w:type="dxa"/>
            <w:bottom w:w="0" w:type="dxa"/>
          </w:tblCellMar>
        </w:tblPrEx>
        <w:tc>
          <w:tcPr>
            <w:tcW w:w="4400" w:type="dxa"/>
            <w:tcMar>
              <w:top w:w="100" w:type="dxa"/>
              <w:left w:w="120" w:type="dxa"/>
              <w:bottom w:w="100" w:type="dxa"/>
              <w:right w:w="120" w:type="dxa"/>
            </w:tcMar>
          </w:tcPr>
          <w:p w14:paraId="361136EC" w14:textId="77777777" w:rsidR="001F4F36" w:rsidRDefault="00000000">
            <w:pPr>
              <w:spacing w:line="300" w:lineRule="auto"/>
            </w:pPr>
            <w:r>
              <w:rPr>
                <w:rFonts w:ascii="Calibri" w:eastAsia="Calibri" w:hAnsi="Calibri" w:cs="Calibri"/>
                <w:color w:val="1A1D21"/>
                <w:sz w:val="19"/>
                <w:szCs w:val="19"/>
              </w:rPr>
              <w:t>They hold the boundary under pressure</w:t>
            </w:r>
          </w:p>
        </w:tc>
        <w:tc>
          <w:tcPr>
            <w:tcW w:w="4626" w:type="dxa"/>
            <w:tcMar>
              <w:top w:w="100" w:type="dxa"/>
              <w:left w:w="120" w:type="dxa"/>
              <w:bottom w:w="100" w:type="dxa"/>
              <w:right w:w="120" w:type="dxa"/>
            </w:tcMar>
          </w:tcPr>
          <w:p w14:paraId="4D74D832" w14:textId="77777777" w:rsidR="001F4F36" w:rsidRDefault="00000000">
            <w:pPr>
              <w:spacing w:line="300" w:lineRule="auto"/>
            </w:pPr>
            <w:r>
              <w:rPr>
                <w:rFonts w:ascii="Calibri" w:eastAsia="Calibri" w:hAnsi="Calibri" w:cs="Calibri"/>
                <w:color w:val="1A1D21"/>
                <w:sz w:val="19"/>
                <w:szCs w:val="19"/>
              </w:rPr>
              <w:t>They reach the third pushback without agreeing.</w:t>
            </w:r>
          </w:p>
        </w:tc>
      </w:tr>
      <w:tr w:rsidR="001F4F36" w14:paraId="0A8242A1" w14:textId="77777777">
        <w:tblPrEx>
          <w:tblCellMar>
            <w:top w:w="0" w:type="dxa"/>
            <w:bottom w:w="0" w:type="dxa"/>
          </w:tblCellMar>
        </w:tblPrEx>
        <w:tc>
          <w:tcPr>
            <w:tcW w:w="4400" w:type="dxa"/>
            <w:tcMar>
              <w:top w:w="100" w:type="dxa"/>
              <w:left w:w="120" w:type="dxa"/>
              <w:bottom w:w="100" w:type="dxa"/>
              <w:right w:w="120" w:type="dxa"/>
            </w:tcMar>
          </w:tcPr>
          <w:p w14:paraId="338B3E77" w14:textId="77777777" w:rsidR="001F4F36" w:rsidRDefault="00000000">
            <w:pPr>
              <w:spacing w:line="300" w:lineRule="auto"/>
            </w:pPr>
            <w:r>
              <w:rPr>
                <w:rFonts w:ascii="Calibri" w:eastAsia="Calibri" w:hAnsi="Calibri" w:cs="Calibri"/>
                <w:color w:val="1A1D21"/>
                <w:sz w:val="19"/>
                <w:szCs w:val="19"/>
              </w:rPr>
              <w:t>They know what to do afterwards</w:t>
            </w:r>
          </w:p>
        </w:tc>
        <w:tc>
          <w:tcPr>
            <w:tcW w:w="4626" w:type="dxa"/>
            <w:tcMar>
              <w:top w:w="100" w:type="dxa"/>
              <w:left w:w="120" w:type="dxa"/>
              <w:bottom w:w="100" w:type="dxa"/>
              <w:right w:w="120" w:type="dxa"/>
            </w:tcMar>
          </w:tcPr>
          <w:p w14:paraId="7FE83691" w14:textId="77777777" w:rsidR="001F4F36" w:rsidRDefault="00000000">
            <w:pPr>
              <w:spacing w:line="300" w:lineRule="auto"/>
            </w:pPr>
            <w:r>
              <w:rPr>
                <w:rFonts w:ascii="Calibri" w:eastAsia="Calibri" w:hAnsi="Calibri" w:cs="Calibri"/>
                <w:color w:val="1A1D21"/>
                <w:sz w:val="19"/>
                <w:szCs w:val="19"/>
              </w:rPr>
              <w:t>They can name an escalation or reporting step after reading the outcome.</w:t>
            </w:r>
          </w:p>
        </w:tc>
      </w:tr>
      <w:tr w:rsidR="001F4F36" w14:paraId="5A12B3C6" w14:textId="77777777">
        <w:tblPrEx>
          <w:tblCellMar>
            <w:top w:w="0" w:type="dxa"/>
            <w:bottom w:w="0" w:type="dxa"/>
          </w:tblCellMar>
        </w:tblPrEx>
        <w:tc>
          <w:tcPr>
            <w:tcW w:w="4400" w:type="dxa"/>
            <w:tcMar>
              <w:top w:w="100" w:type="dxa"/>
              <w:left w:w="120" w:type="dxa"/>
              <w:bottom w:w="100" w:type="dxa"/>
              <w:right w:w="120" w:type="dxa"/>
            </w:tcMar>
          </w:tcPr>
          <w:p w14:paraId="4242C7D2" w14:textId="77777777" w:rsidR="001F4F36" w:rsidRDefault="00000000">
            <w:pPr>
              <w:spacing w:line="300" w:lineRule="auto"/>
            </w:pPr>
            <w:r>
              <w:rPr>
                <w:rFonts w:ascii="Calibri" w:eastAsia="Calibri" w:hAnsi="Calibri" w:cs="Calibri"/>
                <w:color w:val="1A1D21"/>
                <w:sz w:val="19"/>
                <w:szCs w:val="19"/>
              </w:rPr>
              <w:t>They do not feel judged</w:t>
            </w:r>
          </w:p>
        </w:tc>
        <w:tc>
          <w:tcPr>
            <w:tcW w:w="4626" w:type="dxa"/>
            <w:tcMar>
              <w:top w:w="100" w:type="dxa"/>
              <w:left w:w="120" w:type="dxa"/>
              <w:bottom w:w="100" w:type="dxa"/>
              <w:right w:w="120" w:type="dxa"/>
            </w:tcMar>
          </w:tcPr>
          <w:p w14:paraId="16F89903" w14:textId="77777777" w:rsidR="001F4F36" w:rsidRDefault="00000000">
            <w:pPr>
              <w:spacing w:line="300" w:lineRule="auto"/>
            </w:pPr>
            <w:r>
              <w:rPr>
                <w:rFonts w:ascii="Calibri" w:eastAsia="Calibri" w:hAnsi="Calibri" w:cs="Calibri"/>
                <w:color w:val="1A1D21"/>
                <w:sz w:val="19"/>
                <w:szCs w:val="19"/>
              </w:rPr>
              <w:t>Students who complied report the feedback as useful rather than critical.</w:t>
            </w:r>
          </w:p>
        </w:tc>
      </w:tr>
    </w:tbl>
    <w:p w14:paraId="40C0B7A4" w14:textId="6A050BAA" w:rsidR="001F4F36" w:rsidRDefault="00000BCA">
      <w:pPr>
        <w:pStyle w:val="Heading2"/>
        <w:spacing w:before="380" w:after="120"/>
      </w:pPr>
      <w:r>
        <w:rPr>
          <w:rFonts w:ascii="Calibri" w:eastAsia="Calibri" w:hAnsi="Calibri" w:cs="Calibri"/>
          <w:b/>
          <w:bCs/>
          <w:sz w:val="25"/>
          <w:szCs w:val="25"/>
        </w:rPr>
        <w:t>7</w:t>
      </w:r>
      <w:r w:rsidR="00000000">
        <w:rPr>
          <w:rFonts w:ascii="Calibri" w:eastAsia="Calibri" w:hAnsi="Calibri" w:cs="Calibri"/>
          <w:b/>
          <w:bCs/>
          <w:sz w:val="25"/>
          <w:szCs w:val="25"/>
        </w:rPr>
        <w:t>.  Constraints</w:t>
      </w:r>
    </w:p>
    <w:p w14:paraId="3C51F109" w14:textId="77777777" w:rsidR="001F4F36" w:rsidRDefault="00000000">
      <w:pPr>
        <w:pStyle w:val="ListParagraph"/>
        <w:numPr>
          <w:ilvl w:val="0"/>
          <w:numId w:val="2"/>
        </w:numPr>
        <w:spacing w:after="90" w:line="290" w:lineRule="auto"/>
      </w:pPr>
      <w:r>
        <w:rPr>
          <w:rFonts w:ascii="Calibri" w:eastAsia="Calibri" w:hAnsi="Calibri" w:cs="Calibri"/>
          <w:b/>
          <w:bCs/>
          <w:color w:val="1A1D21"/>
        </w:rPr>
        <w:t>Eleven-week timeline</w:t>
      </w:r>
      <w:r>
        <w:rPr>
          <w:rFonts w:ascii="Calibri" w:eastAsia="Calibri" w:hAnsi="Calibri" w:cs="Calibri"/>
          <w:color w:val="1A1D21"/>
        </w:rPr>
        <w:t xml:space="preserve"> with a single UX designer, shared with a small development team.</w:t>
      </w:r>
    </w:p>
    <w:p w14:paraId="2E98B3AC" w14:textId="77777777" w:rsidR="001F4F36" w:rsidRDefault="00000000">
      <w:pPr>
        <w:pStyle w:val="ListParagraph"/>
        <w:numPr>
          <w:ilvl w:val="0"/>
          <w:numId w:val="2"/>
        </w:numPr>
        <w:spacing w:after="90" w:line="290" w:lineRule="auto"/>
      </w:pPr>
      <w:r>
        <w:rPr>
          <w:rFonts w:ascii="Calibri" w:eastAsia="Calibri" w:hAnsi="Calibri" w:cs="Calibri"/>
          <w:b/>
          <w:bCs/>
          <w:color w:val="1A1D21"/>
        </w:rPr>
        <w:t>Browser-based, no installation</w:t>
      </w:r>
      <w:r>
        <w:rPr>
          <w:rFonts w:ascii="Calibri" w:eastAsia="Calibri" w:hAnsi="Calibri" w:cs="Calibri"/>
          <w:color w:val="1A1D21"/>
        </w:rPr>
        <w:t xml:space="preserve">, accessed from Canvas via URL or </w:t>
      </w:r>
      <w:proofErr w:type="spellStart"/>
      <w:r>
        <w:rPr>
          <w:rFonts w:ascii="Calibri" w:eastAsia="Calibri" w:hAnsi="Calibri" w:cs="Calibri"/>
          <w:color w:val="1A1D21"/>
        </w:rPr>
        <w:t>iFrame</w:t>
      </w:r>
      <w:proofErr w:type="spellEnd"/>
      <w:r>
        <w:rPr>
          <w:rFonts w:ascii="Calibri" w:eastAsia="Calibri" w:hAnsi="Calibri" w:cs="Calibri"/>
          <w:color w:val="1A1D21"/>
        </w:rPr>
        <w:t>.</w:t>
      </w:r>
    </w:p>
    <w:p w14:paraId="33319950" w14:textId="77777777" w:rsidR="001F4F36" w:rsidRDefault="00000000">
      <w:pPr>
        <w:pStyle w:val="ListParagraph"/>
        <w:numPr>
          <w:ilvl w:val="0"/>
          <w:numId w:val="2"/>
        </w:numPr>
        <w:spacing w:after="90" w:line="290" w:lineRule="auto"/>
      </w:pPr>
      <w:r>
        <w:rPr>
          <w:rFonts w:ascii="Calibri" w:eastAsia="Calibri" w:hAnsi="Calibri" w:cs="Calibri"/>
          <w:b/>
          <w:bCs/>
          <w:color w:val="1A1D21"/>
        </w:rPr>
        <w:t>No student data stored</w:t>
      </w:r>
      <w:r>
        <w:rPr>
          <w:rFonts w:ascii="Calibri" w:eastAsia="Calibri" w:hAnsi="Calibri" w:cs="Calibri"/>
          <w:color w:val="1A1D21"/>
        </w:rPr>
        <w:t>, so no login, no saved progress and no returning-user state.</w:t>
      </w:r>
    </w:p>
    <w:p w14:paraId="10D36503" w14:textId="77777777" w:rsidR="001F4F36" w:rsidRDefault="00000000">
      <w:pPr>
        <w:pStyle w:val="ListParagraph"/>
        <w:numPr>
          <w:ilvl w:val="0"/>
          <w:numId w:val="2"/>
        </w:numPr>
        <w:spacing w:after="90" w:line="290" w:lineRule="auto"/>
      </w:pPr>
      <w:r>
        <w:rPr>
          <w:rFonts w:ascii="Calibri" w:eastAsia="Calibri" w:hAnsi="Calibri" w:cs="Calibri"/>
          <w:b/>
          <w:bCs/>
          <w:color w:val="1A1D21"/>
        </w:rPr>
        <w:t>Free or low-cost tooling only</w:t>
      </w:r>
      <w:r>
        <w:rPr>
          <w:rFonts w:ascii="Calibri" w:eastAsia="Calibri" w:hAnsi="Calibri" w:cs="Calibri"/>
          <w:color w:val="1A1D21"/>
        </w:rPr>
        <w:t>, with any paid scaling path documented rather than used.</w:t>
      </w:r>
    </w:p>
    <w:p w14:paraId="18D6DA7E" w14:textId="77777777" w:rsidR="001F4F36" w:rsidRDefault="00000000">
      <w:pPr>
        <w:pStyle w:val="ListParagraph"/>
        <w:numPr>
          <w:ilvl w:val="0"/>
          <w:numId w:val="2"/>
        </w:numPr>
        <w:spacing w:after="90" w:line="290" w:lineRule="auto"/>
      </w:pPr>
      <w:r>
        <w:rPr>
          <w:rFonts w:ascii="Calibri" w:eastAsia="Calibri" w:hAnsi="Calibri" w:cs="Calibri"/>
          <w:b/>
          <w:bCs/>
          <w:color w:val="1A1D21"/>
        </w:rPr>
        <w:t>One scenario, one NPC, one decision point.</w:t>
      </w:r>
      <w:r>
        <w:rPr>
          <w:rFonts w:ascii="Calibri" w:eastAsia="Calibri" w:hAnsi="Calibri" w:cs="Calibri"/>
          <w:color w:val="1A1D21"/>
        </w:rPr>
        <w:t xml:space="preserve"> Scope was deliberately narrowed in the updated brief.</w:t>
      </w:r>
    </w:p>
    <w:p w14:paraId="0588C24F" w14:textId="5FBBAC30" w:rsidR="001F4F36" w:rsidRDefault="00000BCA">
      <w:pPr>
        <w:pStyle w:val="Heading2"/>
        <w:spacing w:before="380" w:after="120"/>
      </w:pPr>
      <w:r>
        <w:rPr>
          <w:rFonts w:ascii="Calibri" w:eastAsia="Calibri" w:hAnsi="Calibri" w:cs="Calibri"/>
          <w:b/>
          <w:bCs/>
          <w:sz w:val="25"/>
          <w:szCs w:val="25"/>
        </w:rPr>
        <w:t>8</w:t>
      </w:r>
      <w:r w:rsidR="00000000">
        <w:rPr>
          <w:rFonts w:ascii="Calibri" w:eastAsia="Calibri" w:hAnsi="Calibri" w:cs="Calibri"/>
          <w:b/>
          <w:bCs/>
          <w:sz w:val="25"/>
          <w:szCs w:val="25"/>
        </w:rPr>
        <w:t>.  How this was used</w:t>
      </w:r>
    </w:p>
    <w:p w14:paraId="6A92FC74" w14:textId="77777777" w:rsidR="001F4F36" w:rsidRDefault="00000000">
      <w:pPr>
        <w:spacing w:after="140" w:line="300" w:lineRule="auto"/>
      </w:pPr>
      <w:r>
        <w:rPr>
          <w:rFonts w:ascii="Calibri" w:eastAsia="Calibri" w:hAnsi="Calibri" w:cs="Calibri"/>
          <w:color w:val="1A1D21"/>
          <w:sz w:val="21"/>
          <w:szCs w:val="21"/>
        </w:rPr>
        <w:t>The principles in section 4 and the exclusions in section 5 directly produced several decisions in the flow and screen designs: the absence of a progress indicator, the decision not to change the interface when Sandra escalates, the placement of all learning resources on the outcome screens, the permanently available exit control, and the separate coerced-agreement outcome for a student who resisted before complying.</w:t>
      </w:r>
    </w:p>
    <w:p w14:paraId="2D967278" w14:textId="7BE0CC37" w:rsidR="001F4F36" w:rsidRDefault="00000BCA" w:rsidP="00000BCA">
      <w:pPr>
        <w:spacing w:after="140" w:line="300" w:lineRule="auto"/>
      </w:pPr>
      <w:r>
        <w:rPr>
          <w:rFonts w:ascii="Calibri" w:eastAsia="Calibri" w:hAnsi="Calibri" w:cs="Calibri"/>
          <w:color w:val="5F6570"/>
          <w:sz w:val="21"/>
          <w:szCs w:val="21"/>
        </w:rPr>
        <w:t>\</w:t>
      </w:r>
    </w:p>
    <w:sectPr w:rsidR="001F4F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317DB"/>
    <w:multiLevelType w:val="hybridMultilevel"/>
    <w:tmpl w:val="BD54E698"/>
    <w:lvl w:ilvl="0" w:tplc="11589B18">
      <w:start w:val="1"/>
      <w:numFmt w:val="bullet"/>
      <w:lvlText w:val="•"/>
      <w:lvlJc w:val="left"/>
      <w:pPr>
        <w:ind w:left="403" w:hanging="259"/>
      </w:pPr>
    </w:lvl>
    <w:lvl w:ilvl="1" w:tplc="7C6808D2">
      <w:numFmt w:val="decimal"/>
      <w:lvlText w:val=""/>
      <w:lvlJc w:val="left"/>
    </w:lvl>
    <w:lvl w:ilvl="2" w:tplc="AA76F5B8">
      <w:numFmt w:val="decimal"/>
      <w:lvlText w:val=""/>
      <w:lvlJc w:val="left"/>
    </w:lvl>
    <w:lvl w:ilvl="3" w:tplc="5A8042F6">
      <w:numFmt w:val="decimal"/>
      <w:lvlText w:val=""/>
      <w:lvlJc w:val="left"/>
    </w:lvl>
    <w:lvl w:ilvl="4" w:tplc="2C0C35F8">
      <w:numFmt w:val="decimal"/>
      <w:lvlText w:val=""/>
      <w:lvlJc w:val="left"/>
    </w:lvl>
    <w:lvl w:ilvl="5" w:tplc="C3369030">
      <w:numFmt w:val="decimal"/>
      <w:lvlText w:val=""/>
      <w:lvlJc w:val="left"/>
    </w:lvl>
    <w:lvl w:ilvl="6" w:tplc="E48A1CA6">
      <w:numFmt w:val="decimal"/>
      <w:lvlText w:val=""/>
      <w:lvlJc w:val="left"/>
    </w:lvl>
    <w:lvl w:ilvl="7" w:tplc="7BA0476A">
      <w:numFmt w:val="decimal"/>
      <w:lvlText w:val=""/>
      <w:lvlJc w:val="left"/>
    </w:lvl>
    <w:lvl w:ilvl="8" w:tplc="233C1F4C">
      <w:numFmt w:val="decimal"/>
      <w:lvlText w:val=""/>
      <w:lvlJc w:val="left"/>
    </w:lvl>
  </w:abstractNum>
  <w:abstractNum w:abstractNumId="1" w15:restartNumberingAfterBreak="0">
    <w:nsid w:val="71257698"/>
    <w:multiLevelType w:val="hybridMultilevel"/>
    <w:tmpl w:val="FBC45966"/>
    <w:lvl w:ilvl="0" w:tplc="180E2906">
      <w:start w:val="1"/>
      <w:numFmt w:val="bullet"/>
      <w:lvlText w:val="●"/>
      <w:lvlJc w:val="left"/>
      <w:pPr>
        <w:ind w:left="720" w:hanging="360"/>
      </w:pPr>
    </w:lvl>
    <w:lvl w:ilvl="1" w:tplc="4C2E04DA">
      <w:start w:val="1"/>
      <w:numFmt w:val="bullet"/>
      <w:lvlText w:val="○"/>
      <w:lvlJc w:val="left"/>
      <w:pPr>
        <w:ind w:left="1440" w:hanging="360"/>
      </w:pPr>
    </w:lvl>
    <w:lvl w:ilvl="2" w:tplc="67B89BFC">
      <w:start w:val="1"/>
      <w:numFmt w:val="bullet"/>
      <w:lvlText w:val="■"/>
      <w:lvlJc w:val="left"/>
      <w:pPr>
        <w:ind w:left="2160" w:hanging="360"/>
      </w:pPr>
    </w:lvl>
    <w:lvl w:ilvl="3" w:tplc="78A03512">
      <w:start w:val="1"/>
      <w:numFmt w:val="bullet"/>
      <w:lvlText w:val="●"/>
      <w:lvlJc w:val="left"/>
      <w:pPr>
        <w:ind w:left="2880" w:hanging="360"/>
      </w:pPr>
    </w:lvl>
    <w:lvl w:ilvl="4" w:tplc="4C5269D4">
      <w:start w:val="1"/>
      <w:numFmt w:val="bullet"/>
      <w:lvlText w:val="○"/>
      <w:lvlJc w:val="left"/>
      <w:pPr>
        <w:ind w:left="3600" w:hanging="360"/>
      </w:pPr>
    </w:lvl>
    <w:lvl w:ilvl="5" w:tplc="49A6CD36">
      <w:start w:val="1"/>
      <w:numFmt w:val="bullet"/>
      <w:lvlText w:val="■"/>
      <w:lvlJc w:val="left"/>
      <w:pPr>
        <w:ind w:left="4320" w:hanging="360"/>
      </w:pPr>
    </w:lvl>
    <w:lvl w:ilvl="6" w:tplc="24CC0498">
      <w:start w:val="1"/>
      <w:numFmt w:val="bullet"/>
      <w:lvlText w:val="●"/>
      <w:lvlJc w:val="left"/>
      <w:pPr>
        <w:ind w:left="5040" w:hanging="360"/>
      </w:pPr>
    </w:lvl>
    <w:lvl w:ilvl="7" w:tplc="7C5AF418">
      <w:start w:val="1"/>
      <w:numFmt w:val="bullet"/>
      <w:lvlText w:val="●"/>
      <w:lvlJc w:val="left"/>
      <w:pPr>
        <w:ind w:left="5760" w:hanging="360"/>
      </w:pPr>
    </w:lvl>
    <w:lvl w:ilvl="8" w:tplc="07268FBE">
      <w:start w:val="1"/>
      <w:numFmt w:val="bullet"/>
      <w:lvlText w:val="●"/>
      <w:lvlJc w:val="left"/>
      <w:pPr>
        <w:ind w:left="6480" w:hanging="360"/>
      </w:pPr>
    </w:lvl>
  </w:abstractNum>
  <w:num w:numId="1" w16cid:durableId="738753357">
    <w:abstractNumId w:val="1"/>
    <w:lvlOverride w:ilvl="0">
      <w:startOverride w:val="1"/>
    </w:lvlOverride>
  </w:num>
  <w:num w:numId="2" w16cid:durableId="7528961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F36"/>
    <w:rsid w:val="00000BCA"/>
    <w:rsid w:val="001A2284"/>
    <w:rsid w:val="001F4F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7915171"/>
  <w15:docId w15:val="{E24B01DC-7258-4949-998F-D48A9EC8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Tate Barbuto</cp:lastModifiedBy>
  <cp:revision>2</cp:revision>
  <dcterms:created xsi:type="dcterms:W3CDTF">2026-09-19T21:53:00Z</dcterms:created>
  <dcterms:modified xsi:type="dcterms:W3CDTF">2026-09-19T21:59:00Z</dcterms:modified>
</cp:coreProperties>
</file>