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A7D" w:rsidRPr="00402C1A" w:rsidRDefault="007F6389" w:rsidP="007F6389">
      <w:pPr>
        <w:pStyle w:val="CoverAllianzName"/>
        <w:tabs>
          <w:tab w:val="right" w:pos="8958"/>
        </w:tabs>
        <w:ind w:left="1080"/>
      </w:pPr>
      <w:bookmarkStart w:id="0" w:name="Text1"/>
      <w:r>
        <w:t xml:space="preserve">Allianz Global </w:t>
      </w:r>
    </w:p>
    <w:p w:rsidR="004F2067" w:rsidRDefault="004F2067" w:rsidP="004F2067">
      <w:pPr>
        <w:pStyle w:val="NoHeading1"/>
        <w:numPr>
          <w:ilvl w:val="0"/>
          <w:numId w:val="42"/>
        </w:numPr>
      </w:pPr>
      <w:bookmarkStart w:id="1" w:name="_Toc259027374"/>
      <w:bookmarkStart w:id="2" w:name="_Toc383657291"/>
      <w:bookmarkStart w:id="3" w:name="_Toc502672582"/>
      <w:bookmarkStart w:id="4" w:name="_Toc361152744"/>
      <w:bookmarkEnd w:id="0"/>
      <w:r w:rsidRPr="004F2067">
        <w:t>Introduction</w:t>
      </w:r>
      <w:bookmarkEnd w:id="2"/>
      <w:bookmarkEnd w:id="3"/>
    </w:p>
    <w:p w:rsidR="00082E04" w:rsidRDefault="004F2067" w:rsidP="004F2067">
      <w:pPr>
        <w:pStyle w:val="BodyText1"/>
        <w:spacing w:after="0" w:line="240" w:lineRule="auto"/>
        <w:jc w:val="both"/>
        <w:rPr>
          <w:lang w:val="en-GB"/>
        </w:rPr>
      </w:pPr>
      <w:r w:rsidRPr="004F2067">
        <w:rPr>
          <w:lang w:val="en-GB"/>
        </w:rPr>
        <w:t xml:space="preserve">The Staging Layer covers the first major </w:t>
      </w:r>
      <w:r w:rsidR="00082E04">
        <w:rPr>
          <w:lang w:val="en-GB"/>
        </w:rPr>
        <w:t xml:space="preserve">series of </w:t>
      </w:r>
      <w:r>
        <w:rPr>
          <w:lang w:val="en-GB"/>
        </w:rPr>
        <w:t>ETL process steps</w:t>
      </w:r>
      <w:r w:rsidRPr="004F2067">
        <w:rPr>
          <w:lang w:val="en-GB"/>
        </w:rPr>
        <w:t xml:space="preserve"> </w:t>
      </w:r>
      <w:r w:rsidR="00082E04">
        <w:rPr>
          <w:lang w:val="en-GB"/>
        </w:rPr>
        <w:t>within</w:t>
      </w:r>
      <w:r w:rsidRPr="004F2067">
        <w:rPr>
          <w:lang w:val="en-GB"/>
        </w:rPr>
        <w:t xml:space="preserve"> the Data Warehouse </w:t>
      </w:r>
      <w:r>
        <w:rPr>
          <w:lang w:val="en-GB"/>
        </w:rPr>
        <w:t xml:space="preserve">reference </w:t>
      </w:r>
      <w:r w:rsidRPr="004F2067">
        <w:rPr>
          <w:lang w:val="en-GB"/>
        </w:rPr>
        <w:t>architecture.</w:t>
      </w:r>
      <w:r w:rsidR="00082E04">
        <w:rPr>
          <w:lang w:val="en-GB"/>
        </w:rPr>
        <w:t xml:space="preserve"> </w:t>
      </w:r>
      <w:r w:rsidRPr="004F2067">
        <w:rPr>
          <w:lang w:val="en-GB"/>
        </w:rPr>
        <w:t>The processes involved with the Staging Layer introduce data from many (often disparate) source applications into the Data Warehouse environment. In this sense the Staging Layer is for the most part literally a place where the data is collected onto the Data Warehouse environment before being integra</w:t>
      </w:r>
      <w:r w:rsidR="00082E04">
        <w:rPr>
          <w:lang w:val="en-GB"/>
        </w:rPr>
        <w:t>ted in the core Data Warehouse or loaded for other use-cases (i.e. analytics, ad-hoc reporting).</w:t>
      </w:r>
    </w:p>
    <w:p w:rsidR="00082E04" w:rsidRDefault="00082E04" w:rsidP="004F2067">
      <w:pPr>
        <w:pStyle w:val="BodyText1"/>
        <w:spacing w:after="0" w:line="240" w:lineRule="auto"/>
        <w:jc w:val="both"/>
        <w:rPr>
          <w:lang w:val="en-GB"/>
        </w:rPr>
      </w:pPr>
    </w:p>
    <w:p w:rsidR="004F2067" w:rsidRDefault="004F2067" w:rsidP="004F2067">
      <w:pPr>
        <w:pStyle w:val="BodyText1"/>
        <w:spacing w:after="0" w:line="240" w:lineRule="auto"/>
        <w:jc w:val="both"/>
        <w:rPr>
          <w:lang w:val="en-GB"/>
        </w:rPr>
      </w:pPr>
      <w:r w:rsidRPr="004F2067">
        <w:rPr>
          <w:lang w:val="en-GB"/>
        </w:rPr>
        <w:t>But even then many fundamental decisions are required that have repercussions throughout the rest of the design. This document defines the Staging Layer and describes the required process steps and available solutions.</w:t>
      </w:r>
    </w:p>
    <w:p w:rsidR="004F2067" w:rsidRPr="004F2067" w:rsidRDefault="004F2067" w:rsidP="004F2067">
      <w:pPr>
        <w:pStyle w:val="BodyText1"/>
        <w:spacing w:after="0" w:line="240" w:lineRule="auto"/>
        <w:jc w:val="both"/>
        <w:rPr>
          <w:lang w:val="en-GB"/>
        </w:rPr>
      </w:pPr>
    </w:p>
    <w:p w:rsidR="004F2067" w:rsidRDefault="004F2067" w:rsidP="004F2067">
      <w:pPr>
        <w:pStyle w:val="BodyText1"/>
        <w:spacing w:after="0" w:line="240" w:lineRule="auto"/>
        <w:jc w:val="both"/>
        <w:rPr>
          <w:lang w:val="en-GB"/>
        </w:rPr>
      </w:pPr>
      <w:r w:rsidRPr="004F2067">
        <w:rPr>
          <w:lang w:val="en-GB"/>
        </w:rPr>
        <w:t>Many references to other parts of the ETL Framework will be made including error handling and metadata management. Ultimately, this document provides the information to configure the Staging Layer in a flexible and modular way.</w:t>
      </w:r>
    </w:p>
    <w:p w:rsidR="00742532" w:rsidRDefault="00742532" w:rsidP="004F2067">
      <w:pPr>
        <w:pStyle w:val="BodyText1"/>
        <w:spacing w:after="0" w:line="240" w:lineRule="auto"/>
        <w:jc w:val="both"/>
        <w:rPr>
          <w:lang w:val="en-GB"/>
        </w:rPr>
      </w:pPr>
    </w:p>
    <w:p w:rsidR="00742532" w:rsidRDefault="00742532" w:rsidP="00742532">
      <w:pPr>
        <w:pStyle w:val="BodyText1"/>
        <w:spacing w:after="0" w:line="240" w:lineRule="auto"/>
        <w:jc w:val="both"/>
        <w:rPr>
          <w:lang w:val="en-GB"/>
        </w:rPr>
      </w:pPr>
      <w:r>
        <w:rPr>
          <w:lang w:val="en-GB"/>
        </w:rPr>
        <w:t xml:space="preserve">Every project or delivery has different constraints and opportunities, which is why the detailed definition of how the Staging Layer is implemented (and why) is captured into the Solution Architecture document. </w:t>
      </w:r>
    </w:p>
    <w:p w:rsidR="00B4763A" w:rsidRDefault="00B4763A" w:rsidP="00742532">
      <w:pPr>
        <w:pStyle w:val="BodyText1"/>
        <w:spacing w:after="0" w:line="240" w:lineRule="auto"/>
        <w:jc w:val="both"/>
        <w:rPr>
          <w:lang w:val="en-GB"/>
        </w:rPr>
      </w:pPr>
    </w:p>
    <w:p w:rsidR="00B4763A" w:rsidRDefault="00B4763A" w:rsidP="00742532">
      <w:pPr>
        <w:pStyle w:val="BodyText1"/>
        <w:spacing w:after="0" w:line="240" w:lineRule="auto"/>
        <w:jc w:val="both"/>
        <w:rPr>
          <w:lang w:val="en-GB"/>
        </w:rPr>
      </w:pPr>
    </w:p>
    <w:p w:rsidR="00742532" w:rsidRDefault="00742532" w:rsidP="004F2067">
      <w:pPr>
        <w:pStyle w:val="BodyText1"/>
        <w:spacing w:after="0" w:line="240" w:lineRule="auto"/>
        <w:jc w:val="both"/>
        <w:rPr>
          <w:lang w:val="en-GB"/>
        </w:rPr>
      </w:pPr>
    </w:p>
    <w:p w:rsidR="00742532" w:rsidRPr="004F2067" w:rsidRDefault="00742532" w:rsidP="004F2067">
      <w:pPr>
        <w:pStyle w:val="BodyText1"/>
        <w:spacing w:after="0" w:line="240" w:lineRule="auto"/>
        <w:jc w:val="both"/>
        <w:rPr>
          <w:lang w:val="en-GB"/>
        </w:rPr>
      </w:pPr>
    </w:p>
    <w:p w:rsidR="004F2067" w:rsidRDefault="004F2067">
      <w:pPr>
        <w:rPr>
          <w:color w:val="004984"/>
          <w:sz w:val="32"/>
        </w:rPr>
      </w:pPr>
      <w:bookmarkStart w:id="5" w:name="_Toc383657292"/>
      <w:r>
        <w:br w:type="page"/>
      </w:r>
    </w:p>
    <w:p w:rsidR="004F2067" w:rsidRDefault="004F2067" w:rsidP="004F2067">
      <w:pPr>
        <w:pStyle w:val="NoHeading1"/>
      </w:pPr>
      <w:bookmarkStart w:id="6" w:name="_Toc502672583"/>
      <w:r>
        <w:lastRenderedPageBreak/>
        <w:t>Staging Layer overview</w:t>
      </w:r>
      <w:bookmarkEnd w:id="5"/>
      <w:bookmarkEnd w:id="6"/>
    </w:p>
    <w:p w:rsidR="006E7CF0" w:rsidRPr="005E16E5" w:rsidRDefault="006E7CF0" w:rsidP="006E7CF0">
      <w:pPr>
        <w:pStyle w:val="NoHeading2"/>
      </w:pPr>
      <w:bookmarkStart w:id="7" w:name="_Toc502672584"/>
      <w:r>
        <w:t>Staging</w:t>
      </w:r>
      <w:r w:rsidRPr="005E16E5">
        <w:t xml:space="preserve"> </w:t>
      </w:r>
      <w:r>
        <w:t>L</w:t>
      </w:r>
      <w:r w:rsidRPr="005E16E5">
        <w:t>ayer overview</w:t>
      </w:r>
      <w:bookmarkEnd w:id="7"/>
    </w:p>
    <w:p w:rsidR="006E7CF0" w:rsidRDefault="006E7CF0" w:rsidP="006E7CF0">
      <w:pPr>
        <w:pStyle w:val="BodyText1"/>
        <w:spacing w:after="0" w:line="240" w:lineRule="auto"/>
        <w:jc w:val="both"/>
        <w:rPr>
          <w:lang w:val="en-GB"/>
        </w:rPr>
      </w:pPr>
      <w:r w:rsidRPr="004F2067">
        <w:rPr>
          <w:lang w:val="en-GB"/>
        </w:rPr>
        <w:t>The position of the Staging Layer</w:t>
      </w:r>
      <w:r>
        <w:rPr>
          <w:lang w:val="en-GB"/>
        </w:rPr>
        <w:t xml:space="preserve"> in the overall architecture is outlined in the following diagram.</w:t>
      </w:r>
    </w:p>
    <w:p w:rsidR="006E7CF0" w:rsidRDefault="006E7CF0" w:rsidP="006E7CF0">
      <w:pPr>
        <w:pStyle w:val="BodyText1"/>
        <w:spacing w:after="0" w:line="240" w:lineRule="auto"/>
        <w:jc w:val="both"/>
      </w:pPr>
    </w:p>
    <w:p w:rsidR="006E7CF0" w:rsidRDefault="006E7CF0" w:rsidP="006E7CF0">
      <w:pPr>
        <w:keepNext/>
        <w:rPr>
          <w:lang w:val="en-GB"/>
        </w:rPr>
      </w:pPr>
      <w:r>
        <w:rPr>
          <w:noProof/>
        </w:rPr>
        <w:drawing>
          <wp:anchor distT="0" distB="0" distL="114300" distR="114300" simplePos="0" relativeHeight="251658240" behindDoc="0" locked="0" layoutInCell="1" allowOverlap="1" wp14:anchorId="4D435F41" wp14:editId="2CAA1AAE">
            <wp:simplePos x="0" y="0"/>
            <wp:positionH relativeFrom="column">
              <wp:posOffset>1905</wp:posOffset>
            </wp:positionH>
            <wp:positionV relativeFrom="paragraph">
              <wp:posOffset>-635</wp:posOffset>
            </wp:positionV>
            <wp:extent cx="3274060" cy="387223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4060" cy="3872230"/>
                    </a:xfrm>
                    <a:prstGeom prst="rect">
                      <a:avLst/>
                    </a:prstGeom>
                    <a:noFill/>
                  </pic:spPr>
                </pic:pic>
              </a:graphicData>
            </a:graphic>
            <wp14:sizeRelH relativeFrom="page">
              <wp14:pctWidth>0</wp14:pctWidth>
            </wp14:sizeRelH>
            <wp14:sizeRelV relativeFrom="page">
              <wp14:pctHeight>0</wp14:pctHeight>
            </wp14:sizeRelV>
          </wp:anchor>
        </w:drawing>
      </w:r>
      <w:bookmarkStart w:id="8" w:name="_Toc259027375"/>
    </w:p>
    <w:p w:rsidR="006E7CF0" w:rsidRDefault="004F2067" w:rsidP="004F2067">
      <w:pPr>
        <w:pStyle w:val="BodyText1"/>
        <w:spacing w:after="0" w:line="240" w:lineRule="auto"/>
        <w:jc w:val="both"/>
        <w:rPr>
          <w:lang w:val="en-GB"/>
        </w:rPr>
      </w:pPr>
      <w:r w:rsidRPr="004F2067">
        <w:rPr>
          <w:lang w:val="en-GB"/>
        </w:rPr>
        <w:t xml:space="preserve">The Staging Layer, or the process from source to staging, consists of two separate parts (areas): </w:t>
      </w:r>
    </w:p>
    <w:p w:rsidR="006E7CF0" w:rsidRDefault="006E7CF0" w:rsidP="004F2067">
      <w:pPr>
        <w:pStyle w:val="BodyText1"/>
        <w:spacing w:after="0" w:line="240" w:lineRule="auto"/>
        <w:jc w:val="both"/>
        <w:rPr>
          <w:lang w:val="en-GB"/>
        </w:rPr>
      </w:pPr>
    </w:p>
    <w:p w:rsidR="00FA4F2A" w:rsidRDefault="006E7CF0" w:rsidP="00FA4F2A">
      <w:pPr>
        <w:pStyle w:val="BodyText1"/>
        <w:numPr>
          <w:ilvl w:val="0"/>
          <w:numId w:val="45"/>
        </w:numPr>
        <w:spacing w:after="0" w:line="240" w:lineRule="auto"/>
        <w:rPr>
          <w:lang w:val="en-GB"/>
        </w:rPr>
      </w:pPr>
      <w:r>
        <w:rPr>
          <w:lang w:val="en-GB"/>
        </w:rPr>
        <w:t>T</w:t>
      </w:r>
      <w:r w:rsidR="004F2067" w:rsidRPr="004F2067">
        <w:rPr>
          <w:lang w:val="en-GB"/>
        </w:rPr>
        <w:t>he Staging Area</w:t>
      </w:r>
      <w:r>
        <w:rPr>
          <w:lang w:val="en-GB"/>
        </w:rPr>
        <w:t>,</w:t>
      </w:r>
      <w:r w:rsidR="004F2067" w:rsidRPr="004F2067">
        <w:rPr>
          <w:lang w:val="en-GB"/>
        </w:rPr>
        <w:t xml:space="preserve"> and </w:t>
      </w:r>
    </w:p>
    <w:p w:rsidR="00FA4F2A" w:rsidRDefault="00FA4F2A" w:rsidP="00FA4F2A">
      <w:pPr>
        <w:pStyle w:val="BodyText1"/>
        <w:numPr>
          <w:ilvl w:val="0"/>
          <w:numId w:val="45"/>
        </w:numPr>
        <w:spacing w:after="0" w:line="240" w:lineRule="auto"/>
        <w:rPr>
          <w:lang w:val="en-GB"/>
        </w:rPr>
      </w:pPr>
      <w:r>
        <w:rPr>
          <w:lang w:val="en-GB"/>
        </w:rPr>
        <w:t>T</w:t>
      </w:r>
      <w:r w:rsidRPr="00FA4F2A">
        <w:rPr>
          <w:lang w:val="en-GB"/>
        </w:rPr>
        <w:t xml:space="preserve">he </w:t>
      </w:r>
      <w:r w:rsidR="00082E04" w:rsidRPr="00FA4F2A">
        <w:rPr>
          <w:lang w:val="en-GB"/>
        </w:rPr>
        <w:t>Persistent Staging</w:t>
      </w:r>
      <w:r>
        <w:rPr>
          <w:lang w:val="en-GB"/>
        </w:rPr>
        <w:t xml:space="preserve"> </w:t>
      </w:r>
      <w:r w:rsidR="004F2067" w:rsidRPr="00FA4F2A">
        <w:rPr>
          <w:lang w:val="en-GB"/>
        </w:rPr>
        <w:t>Area</w:t>
      </w:r>
      <w:r w:rsidR="00082E04" w:rsidRPr="00FA4F2A">
        <w:rPr>
          <w:lang w:val="en-GB"/>
        </w:rPr>
        <w:t xml:space="preserve"> </w:t>
      </w:r>
      <w:r>
        <w:rPr>
          <w:lang w:val="en-GB"/>
        </w:rPr>
        <w:t xml:space="preserve"> </w:t>
      </w:r>
    </w:p>
    <w:p w:rsidR="00082E04" w:rsidRPr="00FA4F2A" w:rsidRDefault="00082E04" w:rsidP="00FA4F2A">
      <w:pPr>
        <w:pStyle w:val="BodyText1"/>
        <w:spacing w:after="0" w:line="240" w:lineRule="auto"/>
        <w:ind w:left="720" w:firstLine="720"/>
        <w:rPr>
          <w:lang w:val="en-GB"/>
        </w:rPr>
      </w:pPr>
      <w:r w:rsidRPr="00FA4F2A">
        <w:rPr>
          <w:lang w:val="en-GB"/>
        </w:rPr>
        <w:t>(</w:t>
      </w:r>
      <w:proofErr w:type="gramStart"/>
      <w:r w:rsidRPr="00FA4F2A">
        <w:rPr>
          <w:lang w:val="en-GB"/>
        </w:rPr>
        <w:t>PSA,</w:t>
      </w:r>
      <w:proofErr w:type="gramEnd"/>
      <w:r w:rsidRPr="00FA4F2A">
        <w:rPr>
          <w:lang w:val="en-GB"/>
        </w:rPr>
        <w:t xml:space="preserve"> or History Area)</w:t>
      </w:r>
    </w:p>
    <w:p w:rsidR="004F2067" w:rsidRPr="004F2067" w:rsidRDefault="004F2067"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B4763A" w:rsidRDefault="00B4763A" w:rsidP="00B4763A">
      <w:pPr>
        <w:jc w:val="both"/>
        <w:rPr>
          <w:lang w:val="en-GB"/>
        </w:rPr>
      </w:pPr>
      <w:r>
        <w:rPr>
          <w:lang w:val="en-GB"/>
        </w:rPr>
        <w:t>T</w:t>
      </w:r>
      <w:r w:rsidRPr="00565878">
        <w:rPr>
          <w:lang w:val="en-GB"/>
        </w:rPr>
        <w:t xml:space="preserve">he </w:t>
      </w:r>
      <w:r>
        <w:rPr>
          <w:lang w:val="en-GB"/>
        </w:rPr>
        <w:t>Integration M</w:t>
      </w:r>
      <w:r w:rsidRPr="00565878">
        <w:rPr>
          <w:lang w:val="en-GB"/>
        </w:rPr>
        <w:t xml:space="preserve">etadata </w:t>
      </w:r>
      <w:r>
        <w:rPr>
          <w:lang w:val="en-GB"/>
        </w:rPr>
        <w:t>M</w:t>
      </w:r>
      <w:r w:rsidRPr="00565878">
        <w:rPr>
          <w:lang w:val="en-GB"/>
        </w:rPr>
        <w:t xml:space="preserve">odel </w:t>
      </w:r>
      <w:r>
        <w:rPr>
          <w:lang w:val="en-GB"/>
        </w:rPr>
        <w:t xml:space="preserve">is generic, and is documented </w:t>
      </w:r>
      <w:r w:rsidRPr="00565878">
        <w:rPr>
          <w:lang w:val="en-GB"/>
        </w:rPr>
        <w:t xml:space="preserve">in detail in the </w:t>
      </w:r>
      <w:r>
        <w:rPr>
          <w:lang w:val="en-GB"/>
        </w:rPr>
        <w:t xml:space="preserve">ETL Process Control and </w:t>
      </w:r>
      <w:r w:rsidRPr="00565878">
        <w:rPr>
          <w:lang w:val="en-GB"/>
        </w:rPr>
        <w:t xml:space="preserve">Metadata document. </w:t>
      </w:r>
    </w:p>
    <w:p w:rsidR="00B4763A" w:rsidRDefault="00B4763A" w:rsidP="00B4763A">
      <w:pPr>
        <w:jc w:val="both"/>
        <w:rPr>
          <w:lang w:val="en-GB"/>
        </w:rPr>
      </w:pPr>
    </w:p>
    <w:p w:rsidR="00B4763A" w:rsidRDefault="00B4763A" w:rsidP="00B4763A">
      <w:pPr>
        <w:jc w:val="both"/>
        <w:rPr>
          <w:lang w:val="en-GB"/>
        </w:rPr>
      </w:pPr>
      <w:r w:rsidRPr="00565878">
        <w:rPr>
          <w:lang w:val="en-GB"/>
        </w:rPr>
        <w:t xml:space="preserve">Operational metadata provides information relating to the data loading processes. </w:t>
      </w:r>
    </w:p>
    <w:p w:rsidR="00B4763A" w:rsidRDefault="00B4763A" w:rsidP="00B4763A">
      <w:pPr>
        <w:jc w:val="both"/>
        <w:rPr>
          <w:lang w:val="en-GB"/>
        </w:rPr>
      </w:pPr>
    </w:p>
    <w:p w:rsidR="006E7CF0" w:rsidRDefault="006E7CF0"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6E7CF0" w:rsidRDefault="006E7CF0" w:rsidP="004F2067">
      <w:pPr>
        <w:pStyle w:val="BodyText1"/>
        <w:spacing w:after="0" w:line="240" w:lineRule="auto"/>
        <w:jc w:val="both"/>
        <w:rPr>
          <w:lang w:val="en-GB"/>
        </w:rPr>
      </w:pPr>
    </w:p>
    <w:p w:rsidR="00082E04" w:rsidRDefault="004F2067" w:rsidP="004F2067">
      <w:pPr>
        <w:pStyle w:val="BodyText1"/>
        <w:spacing w:after="0" w:line="240" w:lineRule="auto"/>
        <w:jc w:val="both"/>
        <w:rPr>
          <w:lang w:val="en-GB"/>
        </w:rPr>
      </w:pPr>
      <w:r w:rsidRPr="004F2067">
        <w:rPr>
          <w:lang w:val="en-GB"/>
        </w:rPr>
        <w:t xml:space="preserve">The ETL associated with the </w:t>
      </w:r>
      <w:r w:rsidRPr="00742532">
        <w:rPr>
          <w:i/>
          <w:lang w:val="en-GB"/>
        </w:rPr>
        <w:t>Staging Area</w:t>
      </w:r>
      <w:r w:rsidRPr="004F2067">
        <w:rPr>
          <w:lang w:val="en-GB"/>
        </w:rPr>
        <w:t xml:space="preserve"> copies data from different source system</w:t>
      </w:r>
      <w:r w:rsidR="00082E04">
        <w:rPr>
          <w:lang w:val="en-GB"/>
        </w:rPr>
        <w:t>s</w:t>
      </w:r>
      <w:r w:rsidRPr="004F2067">
        <w:rPr>
          <w:lang w:val="en-GB"/>
        </w:rPr>
        <w:t xml:space="preserve"> to the Data Warehouse environment for further processing. In other words: the Staging Layer is responsible for the physical movement of data</w:t>
      </w:r>
      <w:r w:rsidR="00742532">
        <w:rPr>
          <w:lang w:val="en-GB"/>
        </w:rPr>
        <w:t xml:space="preserve"> delta (differentials) </w:t>
      </w:r>
      <w:r w:rsidRPr="004F2067">
        <w:rPr>
          <w:lang w:val="en-GB"/>
        </w:rPr>
        <w:t xml:space="preserve">from the source platform onto the Data </w:t>
      </w:r>
      <w:r w:rsidR="00742532">
        <w:rPr>
          <w:lang w:val="en-GB"/>
        </w:rPr>
        <w:t>Warehouse p</w:t>
      </w:r>
      <w:r w:rsidRPr="004F2067">
        <w:rPr>
          <w:lang w:val="en-GB"/>
        </w:rPr>
        <w:t xml:space="preserve">latform. </w:t>
      </w:r>
    </w:p>
    <w:p w:rsidR="00082E04" w:rsidRDefault="00082E04" w:rsidP="004F2067">
      <w:pPr>
        <w:pStyle w:val="BodyText1"/>
        <w:spacing w:after="0" w:line="240" w:lineRule="auto"/>
        <w:jc w:val="both"/>
        <w:rPr>
          <w:lang w:val="en-GB"/>
        </w:rPr>
      </w:pPr>
    </w:p>
    <w:p w:rsidR="004F2067" w:rsidRDefault="004F2067" w:rsidP="004F2067">
      <w:pPr>
        <w:pStyle w:val="BodyText1"/>
        <w:spacing w:after="0" w:line="240" w:lineRule="auto"/>
        <w:jc w:val="both"/>
        <w:rPr>
          <w:lang w:val="en-GB"/>
        </w:rPr>
      </w:pPr>
      <w:r w:rsidRPr="004F2067">
        <w:rPr>
          <w:lang w:val="en-GB"/>
        </w:rPr>
        <w:t>During these processes the content of the data is not changed</w:t>
      </w:r>
      <w:r w:rsidR="00742532">
        <w:rPr>
          <w:lang w:val="en-GB"/>
        </w:rPr>
        <w:t>,</w:t>
      </w:r>
      <w:r w:rsidRPr="004F2067">
        <w:rPr>
          <w:lang w:val="en-GB"/>
        </w:rPr>
        <w:t xml:space="preserve"> however changes to the format of the data types are done to conform to a standardised </w:t>
      </w:r>
      <w:r w:rsidR="00742532">
        <w:rPr>
          <w:lang w:val="en-GB"/>
        </w:rPr>
        <w:t xml:space="preserve">limited </w:t>
      </w:r>
      <w:r w:rsidRPr="004F2067">
        <w:rPr>
          <w:lang w:val="en-GB"/>
        </w:rPr>
        <w:t xml:space="preserve">set. The Staging Area is non-persistent and therefore is emptied (truncated) every time the table is loaded </w:t>
      </w:r>
      <w:r w:rsidR="00742532">
        <w:rPr>
          <w:lang w:val="en-GB"/>
        </w:rPr>
        <w:t xml:space="preserve">with new data delta </w:t>
      </w:r>
      <w:r w:rsidRPr="004F2067">
        <w:rPr>
          <w:lang w:val="en-GB"/>
        </w:rPr>
        <w:t>during an ETL proce</w:t>
      </w:r>
      <w:r w:rsidR="00FA4F2A">
        <w:rPr>
          <w:lang w:val="en-GB"/>
        </w:rPr>
        <w:t xml:space="preserve">ss (truncate/insert mechanism). </w:t>
      </w:r>
      <w:r w:rsidRPr="004F2067">
        <w:rPr>
          <w:lang w:val="en-GB"/>
        </w:rPr>
        <w:t>The important design decisions for the Staging Area are to determine the correct event date/time for each (type of) source interface and to ensure that information is interfaced correctly (i.e. delta calculation</w:t>
      </w:r>
      <w:r w:rsidR="00742532">
        <w:rPr>
          <w:lang w:val="en-GB"/>
        </w:rPr>
        <w:t>, load date/time stamp setting</w:t>
      </w:r>
      <w:r w:rsidRPr="004F2067">
        <w:rPr>
          <w:lang w:val="en-GB"/>
        </w:rPr>
        <w:t>, order of processing etc.).</w:t>
      </w:r>
    </w:p>
    <w:p w:rsidR="004F2067" w:rsidRPr="004F2067" w:rsidRDefault="004F2067" w:rsidP="004F2067">
      <w:pPr>
        <w:pStyle w:val="BodyText1"/>
        <w:spacing w:after="0" w:line="240" w:lineRule="auto"/>
        <w:jc w:val="both"/>
        <w:rPr>
          <w:lang w:val="en-GB"/>
        </w:rPr>
      </w:pPr>
    </w:p>
    <w:p w:rsidR="004F2067" w:rsidRDefault="004F2067" w:rsidP="004F2067">
      <w:pPr>
        <w:pStyle w:val="BodyText1"/>
        <w:spacing w:after="0" w:line="240" w:lineRule="auto"/>
        <w:jc w:val="both"/>
        <w:rPr>
          <w:lang w:val="en-GB"/>
        </w:rPr>
      </w:pPr>
      <w:r w:rsidRPr="004F2067">
        <w:rPr>
          <w:lang w:val="en-GB"/>
        </w:rPr>
        <w:t>A</w:t>
      </w:r>
      <w:r w:rsidR="00FA4F2A">
        <w:rPr>
          <w:lang w:val="en-GB"/>
        </w:rPr>
        <w:t xml:space="preserve"> second</w:t>
      </w:r>
      <w:r w:rsidRPr="004F2067">
        <w:rPr>
          <w:lang w:val="en-GB"/>
        </w:rPr>
        <w:t xml:space="preserve"> </w:t>
      </w:r>
      <w:r w:rsidR="00FA4F2A">
        <w:rPr>
          <w:lang w:val="en-GB"/>
        </w:rPr>
        <w:t>area</w:t>
      </w:r>
      <w:r w:rsidRPr="004F2067">
        <w:rPr>
          <w:lang w:val="en-GB"/>
        </w:rPr>
        <w:t xml:space="preserve"> can be added to the Staging Layer to archive data in the source structure: the </w:t>
      </w:r>
      <w:r w:rsidR="00742532" w:rsidRPr="00742532">
        <w:rPr>
          <w:i/>
          <w:lang w:val="en-GB"/>
        </w:rPr>
        <w:t>Persistent Staging</w:t>
      </w:r>
      <w:r w:rsidRPr="00742532">
        <w:rPr>
          <w:i/>
          <w:lang w:val="en-GB"/>
        </w:rPr>
        <w:t xml:space="preserve"> Area</w:t>
      </w:r>
      <w:r w:rsidR="00742532">
        <w:rPr>
          <w:lang w:val="en-GB"/>
        </w:rPr>
        <w:t xml:space="preserve"> (History Area)</w:t>
      </w:r>
      <w:r w:rsidRPr="004F2067">
        <w:rPr>
          <w:lang w:val="en-GB"/>
        </w:rPr>
        <w:t>. This will preserve the (table) structure of the source applications while at the same time storing the data in a historical fashion. This allows for a number of functions including positioning as ODS and Disaster Recovery. In worst-case scenarios, where modelling decisions have been made which cannot be reverted, the History Area can be used to repopulate parts of the Data Warehouse in the updated model using</w:t>
      </w:r>
      <w:r w:rsidR="00A64BCE">
        <w:rPr>
          <w:lang w:val="en-GB"/>
        </w:rPr>
        <w:t xml:space="preserve"> the re-initialisation process.</w:t>
      </w:r>
    </w:p>
    <w:p w:rsidR="00082E04" w:rsidRDefault="00082E04" w:rsidP="004F2067">
      <w:pPr>
        <w:pStyle w:val="BodyText1"/>
        <w:spacing w:after="0" w:line="240" w:lineRule="auto"/>
        <w:jc w:val="both"/>
        <w:rPr>
          <w:lang w:val="en-GB"/>
        </w:rPr>
      </w:pPr>
    </w:p>
    <w:p w:rsidR="00B4763A" w:rsidRDefault="00B4763A" w:rsidP="00082E04">
      <w:pPr>
        <w:pStyle w:val="BodyText1"/>
        <w:spacing w:after="0" w:line="240" w:lineRule="auto"/>
        <w:jc w:val="both"/>
        <w:rPr>
          <w:lang w:val="en-GB"/>
        </w:rPr>
      </w:pPr>
    </w:p>
    <w:p w:rsidR="00B4763A" w:rsidRDefault="00B4763A" w:rsidP="00082E04">
      <w:pPr>
        <w:pStyle w:val="BodyText1"/>
        <w:spacing w:after="0" w:line="240" w:lineRule="auto"/>
        <w:jc w:val="both"/>
        <w:rPr>
          <w:lang w:val="en-GB"/>
        </w:rPr>
      </w:pPr>
    </w:p>
    <w:p w:rsidR="00B4763A" w:rsidRDefault="00B4763A" w:rsidP="00082E04">
      <w:pPr>
        <w:pStyle w:val="BodyText1"/>
        <w:spacing w:after="0" w:line="240" w:lineRule="auto"/>
        <w:jc w:val="both"/>
        <w:rPr>
          <w:lang w:val="en-GB"/>
        </w:rPr>
      </w:pPr>
    </w:p>
    <w:p w:rsidR="00B4763A" w:rsidRDefault="00B4763A" w:rsidP="00082E04">
      <w:pPr>
        <w:pStyle w:val="BodyText1"/>
        <w:spacing w:after="0" w:line="240" w:lineRule="auto"/>
        <w:jc w:val="both"/>
        <w:rPr>
          <w:lang w:val="en-GB"/>
        </w:rPr>
      </w:pPr>
    </w:p>
    <w:p w:rsidR="00B4763A" w:rsidRDefault="00B4763A" w:rsidP="00082E04">
      <w:pPr>
        <w:pStyle w:val="BodyText1"/>
        <w:spacing w:after="0" w:line="240" w:lineRule="auto"/>
        <w:jc w:val="both"/>
        <w:rPr>
          <w:lang w:val="en-GB"/>
        </w:rPr>
      </w:pPr>
    </w:p>
    <w:p w:rsidR="00B4763A" w:rsidRDefault="00B4763A" w:rsidP="00082E04">
      <w:pPr>
        <w:pStyle w:val="BodyText1"/>
        <w:spacing w:after="0" w:line="240" w:lineRule="auto"/>
        <w:jc w:val="both"/>
        <w:rPr>
          <w:lang w:val="en-GB"/>
        </w:rPr>
      </w:pPr>
    </w:p>
    <w:p w:rsidR="00B4763A" w:rsidRDefault="00B4763A" w:rsidP="00082E04">
      <w:pPr>
        <w:pStyle w:val="BodyText1"/>
        <w:spacing w:after="0" w:line="240" w:lineRule="auto"/>
        <w:jc w:val="both"/>
        <w:rPr>
          <w:lang w:val="en-GB"/>
        </w:rPr>
      </w:pPr>
    </w:p>
    <w:p w:rsidR="00B4763A" w:rsidRDefault="00B4763A" w:rsidP="00082E04">
      <w:pPr>
        <w:pStyle w:val="BodyText1"/>
        <w:spacing w:after="0" w:line="240" w:lineRule="auto"/>
        <w:jc w:val="both"/>
        <w:rPr>
          <w:lang w:val="en-GB"/>
        </w:rPr>
      </w:pPr>
    </w:p>
    <w:p w:rsidR="007F6389" w:rsidRDefault="007F6389" w:rsidP="00082E04">
      <w:pPr>
        <w:pStyle w:val="BodyText1"/>
        <w:spacing w:after="0" w:line="240" w:lineRule="auto"/>
        <w:jc w:val="both"/>
        <w:rPr>
          <w:lang w:val="en-GB"/>
        </w:rPr>
      </w:pPr>
    </w:p>
    <w:p w:rsidR="007F6389" w:rsidRDefault="007F6389" w:rsidP="00082E04">
      <w:pPr>
        <w:pStyle w:val="BodyText1"/>
        <w:spacing w:after="0" w:line="240" w:lineRule="auto"/>
        <w:jc w:val="both"/>
        <w:rPr>
          <w:lang w:val="en-GB"/>
        </w:rPr>
      </w:pPr>
    </w:p>
    <w:p w:rsidR="00B4763A" w:rsidRDefault="00B4763A" w:rsidP="00082E04">
      <w:pPr>
        <w:pStyle w:val="BodyText1"/>
        <w:spacing w:after="0" w:line="240" w:lineRule="auto"/>
        <w:jc w:val="both"/>
        <w:rPr>
          <w:lang w:val="en-GB"/>
        </w:rPr>
      </w:pPr>
    </w:p>
    <w:p w:rsidR="00082E04" w:rsidRDefault="00082E04" w:rsidP="00082E04">
      <w:pPr>
        <w:pStyle w:val="BodyText1"/>
        <w:spacing w:after="0" w:line="240" w:lineRule="auto"/>
        <w:jc w:val="both"/>
        <w:rPr>
          <w:lang w:val="en-GB"/>
        </w:rPr>
      </w:pPr>
      <w:r>
        <w:rPr>
          <w:lang w:val="en-GB"/>
        </w:rPr>
        <w:lastRenderedPageBreak/>
        <w:t>The Staging Area and Persistent Staging Area can be used independently, or in combination with each other:</w:t>
      </w:r>
    </w:p>
    <w:p w:rsidR="00082E04" w:rsidRDefault="00082E04" w:rsidP="00082E04">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82E04">
        <w:rPr>
          <w:rFonts w:ascii="Arial" w:hAnsi="Arial" w:cs="Arial"/>
          <w:sz w:val="19"/>
          <w:szCs w:val="19"/>
        </w:rPr>
        <w:t>Staging Area only – the traditional Data Warehouse configuration. The Staging Area acts as a tr</w:t>
      </w:r>
      <w:r>
        <w:rPr>
          <w:rFonts w:ascii="Arial" w:hAnsi="Arial" w:cs="Arial"/>
          <w:sz w:val="19"/>
          <w:szCs w:val="19"/>
        </w:rPr>
        <w:t>ansient environment to make sure data can be collected in batch-type environments and pushed into the Data Warehouse.</w:t>
      </w:r>
    </w:p>
    <w:p w:rsidR="00082E04" w:rsidRDefault="00082E04" w:rsidP="00082E04">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 xml:space="preserve">Persistent Staging Area only – </w:t>
      </w:r>
      <w:r w:rsidR="006A552B">
        <w:rPr>
          <w:rFonts w:ascii="Arial" w:hAnsi="Arial" w:cs="Arial"/>
          <w:sz w:val="19"/>
          <w:szCs w:val="19"/>
        </w:rPr>
        <w:t>akin to a</w:t>
      </w:r>
      <w:r>
        <w:rPr>
          <w:rFonts w:ascii="Arial" w:hAnsi="Arial" w:cs="Arial"/>
          <w:sz w:val="19"/>
          <w:szCs w:val="19"/>
        </w:rPr>
        <w:t xml:space="preserve"> Data Lake configuration. D</w:t>
      </w:r>
      <w:r w:rsidR="006A552B">
        <w:rPr>
          <w:rFonts w:ascii="Arial" w:hAnsi="Arial" w:cs="Arial"/>
          <w:sz w:val="19"/>
          <w:szCs w:val="19"/>
        </w:rPr>
        <w:t xml:space="preserve">ata delta is loaded directly in the PSA, from which it is used for further processing. </w:t>
      </w:r>
    </w:p>
    <w:p w:rsidR="006A552B" w:rsidRDefault="006A552B" w:rsidP="00082E04">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Both Staging Area and Persistent Staging Area. A configuration intended to deprecate the PSA once the solution is mature, mainly focused on Data Warehouse solutions where the PSA is used as refactoring mechanism during development.</w:t>
      </w:r>
    </w:p>
    <w:p w:rsidR="00742532" w:rsidRDefault="00742532" w:rsidP="00742532">
      <w:pPr>
        <w:spacing w:before="120" w:after="120"/>
        <w:jc w:val="both"/>
        <w:rPr>
          <w:rFonts w:cs="Arial"/>
          <w:szCs w:val="19"/>
        </w:rPr>
      </w:pPr>
      <w:r>
        <w:rPr>
          <w:rFonts w:cs="Arial"/>
          <w:szCs w:val="19"/>
        </w:rPr>
        <w:t xml:space="preserve">The </w:t>
      </w:r>
      <w:r w:rsidR="006A552B">
        <w:rPr>
          <w:rFonts w:cs="Arial"/>
          <w:szCs w:val="19"/>
        </w:rPr>
        <w:t xml:space="preserve">desired specific </w:t>
      </w:r>
      <w:r>
        <w:rPr>
          <w:rFonts w:cs="Arial"/>
          <w:szCs w:val="19"/>
        </w:rPr>
        <w:t>configuration of the above is logged in the Solution Architecture documentation.</w:t>
      </w:r>
      <w:r w:rsidR="006A552B">
        <w:rPr>
          <w:rFonts w:cs="Arial"/>
          <w:szCs w:val="19"/>
        </w:rPr>
        <w:t xml:space="preserve"> It is important to state that both the Staging Area as the Persistent Staging Area do not necessarily need to be database tables, they can be any fit-for-purpose technique.</w:t>
      </w:r>
    </w:p>
    <w:p w:rsidR="00A660D6" w:rsidRDefault="00A660D6" w:rsidP="00742532">
      <w:pPr>
        <w:spacing w:before="120" w:after="120"/>
        <w:jc w:val="both"/>
        <w:rPr>
          <w:rFonts w:cs="Arial"/>
          <w:szCs w:val="19"/>
        </w:rPr>
      </w:pPr>
      <w:r>
        <w:rPr>
          <w:rFonts w:cs="Arial"/>
          <w:szCs w:val="19"/>
        </w:rPr>
        <w:t>Please note: it is technically possible to directly write data delta into the core Data Warehouse layer (Integration Layer), although this is only relevant for very specific use-cases. In most situations including a PSA will deliver maximum flexibility.</w:t>
      </w:r>
    </w:p>
    <w:p w:rsidR="004F2067" w:rsidRDefault="004F2067" w:rsidP="004F2067">
      <w:pPr>
        <w:pStyle w:val="NoHeading2"/>
      </w:pPr>
      <w:bookmarkStart w:id="9" w:name="_Toc383657294"/>
      <w:bookmarkStart w:id="10" w:name="_Toc502672585"/>
      <w:bookmarkEnd w:id="8"/>
      <w:r w:rsidRPr="005E16E5">
        <w:t xml:space="preserve">Detailed </w:t>
      </w:r>
      <w:r>
        <w:t>Staging Layer</w:t>
      </w:r>
      <w:r w:rsidRPr="005E16E5">
        <w:t xml:space="preserve"> overview</w:t>
      </w:r>
      <w:bookmarkEnd w:id="9"/>
      <w:bookmarkEnd w:id="10"/>
    </w:p>
    <w:p w:rsidR="00757961" w:rsidRPr="00757961" w:rsidRDefault="00757961" w:rsidP="00757961">
      <w:pPr>
        <w:pStyle w:val="NoHeading3"/>
      </w:pPr>
      <w:bookmarkStart w:id="11" w:name="_Toc502672586"/>
      <w:r>
        <w:t>Core functionality</w:t>
      </w:r>
      <w:bookmarkEnd w:id="11"/>
    </w:p>
    <w:p w:rsidR="004F2067" w:rsidRDefault="004F2067" w:rsidP="004F2067">
      <w:pPr>
        <w:pStyle w:val="BodyText1"/>
        <w:spacing w:after="0" w:line="240" w:lineRule="auto"/>
        <w:jc w:val="both"/>
        <w:rPr>
          <w:lang w:val="en-GB"/>
        </w:rPr>
      </w:pPr>
      <w:r w:rsidRPr="004F2067">
        <w:rPr>
          <w:lang w:val="en-GB"/>
        </w:rPr>
        <w:t xml:space="preserve">The </w:t>
      </w:r>
      <w:r>
        <w:rPr>
          <w:lang w:val="en-GB"/>
        </w:rPr>
        <w:t xml:space="preserve">reference </w:t>
      </w:r>
      <w:r w:rsidRPr="004F2067">
        <w:rPr>
          <w:lang w:val="en-GB"/>
        </w:rPr>
        <w:t xml:space="preserve">architecture </w:t>
      </w:r>
      <w:r w:rsidR="00CB477D">
        <w:rPr>
          <w:lang w:val="en-GB"/>
        </w:rPr>
        <w:t>specifies</w:t>
      </w:r>
      <w:r w:rsidRPr="004F2067">
        <w:rPr>
          <w:lang w:val="en-GB"/>
        </w:rPr>
        <w:t xml:space="preserve"> that data from the</w:t>
      </w:r>
      <w:r w:rsidR="00B84903">
        <w:rPr>
          <w:lang w:val="en-GB"/>
        </w:rPr>
        <w:t xml:space="preserve"> source systems is loaded into the</w:t>
      </w:r>
      <w:r w:rsidRPr="004F2067">
        <w:rPr>
          <w:lang w:val="en-GB"/>
        </w:rPr>
        <w:t xml:space="preserve"> Staging </w:t>
      </w:r>
      <w:r w:rsidR="00B84903">
        <w:rPr>
          <w:lang w:val="en-GB"/>
        </w:rPr>
        <w:t>Layer</w:t>
      </w:r>
      <w:r w:rsidRPr="004F2067">
        <w:rPr>
          <w:lang w:val="en-GB"/>
        </w:rPr>
        <w:t>.</w:t>
      </w:r>
      <w:r w:rsidR="006E7CF0">
        <w:rPr>
          <w:lang w:val="en-GB"/>
        </w:rPr>
        <w:t xml:space="preserve"> </w:t>
      </w:r>
      <w:r w:rsidRPr="004F2067">
        <w:rPr>
          <w:lang w:val="en-GB"/>
        </w:rPr>
        <w:t xml:space="preserve">Both areas </w:t>
      </w:r>
      <w:r w:rsidR="00B84903">
        <w:rPr>
          <w:lang w:val="en-GB"/>
        </w:rPr>
        <w:t xml:space="preserve">with the Staging Layer </w:t>
      </w:r>
      <w:r w:rsidRPr="004F2067">
        <w:rPr>
          <w:lang w:val="en-GB"/>
        </w:rPr>
        <w:t xml:space="preserve">have a similar structure (the same structure as the source system that provides the data). The </w:t>
      </w:r>
      <w:r w:rsidR="00B84903">
        <w:rPr>
          <w:lang w:val="en-GB"/>
        </w:rPr>
        <w:t>Persistent Staging Area</w:t>
      </w:r>
      <w:r w:rsidRPr="004F2067">
        <w:rPr>
          <w:lang w:val="en-GB"/>
        </w:rPr>
        <w:t xml:space="preserve"> has additional attributes to support the storage of data over time.  </w:t>
      </w:r>
    </w:p>
    <w:p w:rsidR="004F2067" w:rsidRDefault="004F2067" w:rsidP="004F2067">
      <w:pPr>
        <w:pStyle w:val="BodyText1"/>
        <w:spacing w:after="0" w:line="240" w:lineRule="auto"/>
        <w:jc w:val="both"/>
        <w:rPr>
          <w:lang w:val="en-GB"/>
        </w:rPr>
      </w:pPr>
    </w:p>
    <w:p w:rsidR="006E7CF0" w:rsidRDefault="004F2067" w:rsidP="00CB477D">
      <w:pPr>
        <w:pStyle w:val="BodyText1"/>
        <w:spacing w:after="0" w:line="240" w:lineRule="auto"/>
        <w:jc w:val="both"/>
        <w:rPr>
          <w:lang w:val="en-GB"/>
        </w:rPr>
      </w:pPr>
      <w:r w:rsidRPr="004F2067">
        <w:rPr>
          <w:lang w:val="en-GB"/>
        </w:rPr>
        <w:t>This approach is presented in the following diagram:</w:t>
      </w:r>
    </w:p>
    <w:p w:rsidR="004B20CF" w:rsidRDefault="004B20CF" w:rsidP="00CB477D">
      <w:pPr>
        <w:pStyle w:val="BodyText1"/>
        <w:spacing w:after="0" w:line="240" w:lineRule="auto"/>
        <w:jc w:val="both"/>
        <w:rPr>
          <w:lang w:val="en-GB"/>
        </w:rPr>
      </w:pPr>
      <w:r>
        <w:rPr>
          <w:noProof/>
        </w:rPr>
        <w:drawing>
          <wp:inline distT="0" distB="0" distL="0" distR="0" wp14:anchorId="14CE456D" wp14:editId="484A33A0">
            <wp:extent cx="6454381" cy="38484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1241" cy="3852522"/>
                    </a:xfrm>
                    <a:prstGeom prst="rect">
                      <a:avLst/>
                    </a:prstGeom>
                    <a:noFill/>
                  </pic:spPr>
                </pic:pic>
              </a:graphicData>
            </a:graphic>
          </wp:inline>
        </w:drawing>
      </w:r>
    </w:p>
    <w:p w:rsidR="006E7CF0" w:rsidRDefault="006E7CF0" w:rsidP="00CB477D">
      <w:pPr>
        <w:pStyle w:val="BodyText1"/>
        <w:spacing w:after="0" w:line="240" w:lineRule="auto"/>
        <w:jc w:val="both"/>
        <w:rPr>
          <w:lang w:val="en-GB"/>
        </w:rPr>
      </w:pPr>
    </w:p>
    <w:p w:rsidR="00757961" w:rsidRDefault="004F2067" w:rsidP="004F2067">
      <w:pPr>
        <w:pStyle w:val="BodyText1"/>
        <w:spacing w:after="0" w:line="240" w:lineRule="auto"/>
        <w:jc w:val="both"/>
        <w:rPr>
          <w:lang w:val="en-GB"/>
        </w:rPr>
      </w:pPr>
      <w:r w:rsidRPr="004F2067">
        <w:rPr>
          <w:lang w:val="en-GB"/>
        </w:rPr>
        <w:t>In</w:t>
      </w:r>
      <w:r w:rsidR="00FA4F2A">
        <w:rPr>
          <w:lang w:val="en-GB"/>
        </w:rPr>
        <w:t xml:space="preserve"> typical solution designs,</w:t>
      </w:r>
      <w:r w:rsidRPr="004F2067">
        <w:rPr>
          <w:lang w:val="en-GB"/>
        </w:rPr>
        <w:t xml:space="preserve"> </w:t>
      </w:r>
      <w:r w:rsidR="00FA4F2A">
        <w:rPr>
          <w:lang w:val="en-GB"/>
        </w:rPr>
        <w:t>the Staging Area ETL</w:t>
      </w:r>
      <w:r w:rsidRPr="004F2067">
        <w:rPr>
          <w:lang w:val="en-GB"/>
        </w:rPr>
        <w:t xml:space="preserve"> </w:t>
      </w:r>
      <w:r w:rsidR="00FA4F2A">
        <w:rPr>
          <w:lang w:val="en-GB"/>
        </w:rPr>
        <w:t xml:space="preserve">is contains the steps where </w:t>
      </w:r>
      <w:r w:rsidRPr="004F2067">
        <w:rPr>
          <w:lang w:val="en-GB"/>
        </w:rPr>
        <w:t xml:space="preserve">the source data is actually copied into the Data Warehouse environment. Concepts such as Change Data Capture (CDC) are implemented for this purpose. </w:t>
      </w:r>
      <w:r w:rsidR="00CB477D">
        <w:rPr>
          <w:lang w:val="en-GB"/>
        </w:rPr>
        <w:t xml:space="preserve"> </w:t>
      </w:r>
    </w:p>
    <w:p w:rsidR="00757961" w:rsidRDefault="00757961" w:rsidP="004F2067">
      <w:pPr>
        <w:pStyle w:val="BodyText1"/>
        <w:spacing w:after="0" w:line="240" w:lineRule="auto"/>
        <w:jc w:val="both"/>
        <w:rPr>
          <w:lang w:val="en-GB"/>
        </w:rPr>
      </w:pPr>
    </w:p>
    <w:p w:rsidR="00FA4F2A" w:rsidRDefault="00FA4F2A" w:rsidP="004F2067">
      <w:pPr>
        <w:pStyle w:val="BodyText1"/>
        <w:spacing w:after="0" w:line="240" w:lineRule="auto"/>
        <w:jc w:val="both"/>
        <w:rPr>
          <w:lang w:val="en-GB"/>
        </w:rPr>
      </w:pPr>
      <w:r>
        <w:rPr>
          <w:lang w:val="en-GB"/>
        </w:rPr>
        <w:t xml:space="preserve">In some cases </w:t>
      </w:r>
      <w:r w:rsidR="004F2067" w:rsidRPr="004F2067">
        <w:rPr>
          <w:lang w:val="en-GB"/>
        </w:rPr>
        <w:t>the Staging Area process may be further b</w:t>
      </w:r>
      <w:r>
        <w:rPr>
          <w:lang w:val="en-GB"/>
        </w:rPr>
        <w:t xml:space="preserve">roken down into two more steps, for example when a delta needs to be derived by the Data Warehouse itself (full outer joins) or when a separate </w:t>
      </w:r>
      <w:r>
        <w:rPr>
          <w:lang w:val="en-GB"/>
        </w:rPr>
        <w:lastRenderedPageBreak/>
        <w:t>landing area for flat files is required. The end result in every case is the availability of a data delta in the primary Staging Area table.</w:t>
      </w:r>
    </w:p>
    <w:p w:rsidR="00FA4F2A" w:rsidRDefault="00FA4F2A" w:rsidP="004F2067">
      <w:pPr>
        <w:pStyle w:val="BodyText1"/>
        <w:spacing w:after="0" w:line="240" w:lineRule="auto"/>
        <w:jc w:val="both"/>
        <w:rPr>
          <w:lang w:val="en-GB"/>
        </w:rPr>
      </w:pPr>
    </w:p>
    <w:p w:rsidR="004F2067" w:rsidRDefault="00FA4F2A" w:rsidP="004F2067">
      <w:pPr>
        <w:pStyle w:val="BodyText1"/>
        <w:spacing w:after="0" w:line="240" w:lineRule="auto"/>
        <w:jc w:val="both"/>
        <w:rPr>
          <w:lang w:val="en-GB"/>
        </w:rPr>
      </w:pPr>
      <w:r>
        <w:rPr>
          <w:lang w:val="en-GB"/>
        </w:rPr>
        <w:t>In the specific case of flat file handling the d</w:t>
      </w:r>
      <w:r w:rsidR="004F2067" w:rsidRPr="004F2067">
        <w:rPr>
          <w:lang w:val="en-GB"/>
        </w:rPr>
        <w:t xml:space="preserve">ata from the flat file in loaded into a table schema where the only data type is character (for example VARCHAR, NVARCHAR2 or TEXT). In doing so, this loading process should never fail as a result of data-related issues. </w:t>
      </w:r>
      <w:r>
        <w:rPr>
          <w:lang w:val="en-GB"/>
        </w:rPr>
        <w:t xml:space="preserve">Data conversion to proper data types is handled in later steps, </w:t>
      </w:r>
      <w:r w:rsidR="004F2067" w:rsidRPr="004F2067">
        <w:rPr>
          <w:lang w:val="en-GB"/>
        </w:rPr>
        <w:t>typically a part of the Integration Layer</w:t>
      </w:r>
      <w:r>
        <w:rPr>
          <w:lang w:val="en-GB"/>
        </w:rPr>
        <w:t xml:space="preserve"> ETL</w:t>
      </w:r>
      <w:r w:rsidR="004F2067" w:rsidRPr="004F2067">
        <w:rPr>
          <w:lang w:val="en-GB"/>
        </w:rPr>
        <w:t xml:space="preserve">. </w:t>
      </w:r>
    </w:p>
    <w:p w:rsidR="004F2067" w:rsidRPr="004F2067" w:rsidRDefault="004F2067" w:rsidP="004F2067">
      <w:pPr>
        <w:pStyle w:val="BodyText1"/>
        <w:spacing w:after="0" w:line="240" w:lineRule="auto"/>
        <w:jc w:val="both"/>
        <w:rPr>
          <w:lang w:val="en-GB"/>
        </w:rPr>
      </w:pPr>
    </w:p>
    <w:p w:rsidR="004F2067" w:rsidRPr="004F2067" w:rsidRDefault="004F2067" w:rsidP="004F2067">
      <w:pPr>
        <w:pStyle w:val="BodyText1"/>
        <w:spacing w:after="0" w:line="240" w:lineRule="auto"/>
        <w:jc w:val="both"/>
        <w:rPr>
          <w:lang w:val="en-GB"/>
        </w:rPr>
      </w:pPr>
      <w:r w:rsidRPr="004F2067">
        <w:rPr>
          <w:lang w:val="en-GB"/>
        </w:rPr>
        <w:t xml:space="preserve">The optional processing for the </w:t>
      </w:r>
      <w:r w:rsidR="00FA4F2A">
        <w:rPr>
          <w:lang w:val="en-GB"/>
        </w:rPr>
        <w:t>Persistent Staging</w:t>
      </w:r>
      <w:r w:rsidRPr="004F2067">
        <w:rPr>
          <w:lang w:val="en-GB"/>
        </w:rPr>
        <w:t xml:space="preserve"> Area </w:t>
      </w:r>
      <w:r w:rsidR="00FA4F2A">
        <w:rPr>
          <w:lang w:val="en-GB"/>
        </w:rPr>
        <w:t xml:space="preserve">(PSA) </w:t>
      </w:r>
      <w:r w:rsidRPr="004F2067">
        <w:rPr>
          <w:lang w:val="en-GB"/>
        </w:rPr>
        <w:t xml:space="preserve">creates a historical view of the source data. All source data is captured as-is and the data is stored in a SCD2 </w:t>
      </w:r>
      <w:r w:rsidR="00FA4F2A">
        <w:rPr>
          <w:lang w:val="en-GB"/>
        </w:rPr>
        <w:t xml:space="preserve">insert-only </w:t>
      </w:r>
      <w:r w:rsidRPr="004F2067">
        <w:rPr>
          <w:lang w:val="en-GB"/>
        </w:rPr>
        <w:t>fashion. While this means extra ETL development there are many benefits:</w:t>
      </w:r>
    </w:p>
    <w:p w:rsidR="004F2067" w:rsidRPr="004F2067" w:rsidRDefault="004F2067" w:rsidP="004F2067">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F2067">
        <w:rPr>
          <w:rFonts w:ascii="Arial" w:hAnsi="Arial" w:cs="Arial"/>
          <w:sz w:val="19"/>
          <w:szCs w:val="19"/>
        </w:rPr>
        <w:t>Creating of an archive of source data in an easy to manage way</w:t>
      </w:r>
    </w:p>
    <w:p w:rsidR="004F2067" w:rsidRPr="004F2067" w:rsidRDefault="004F2067" w:rsidP="004F2067">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F2067">
        <w:rPr>
          <w:rFonts w:ascii="Arial" w:hAnsi="Arial" w:cs="Arial"/>
          <w:sz w:val="19"/>
          <w:szCs w:val="19"/>
        </w:rPr>
        <w:t>Provide the possibility of remodelling or reloading (parts of) the Data Warehouse in case of a catastrophe or design error. It provides reloading capability for the Integration Layer</w:t>
      </w:r>
    </w:p>
    <w:p w:rsidR="004F2067" w:rsidRPr="004F2067" w:rsidRDefault="004F2067" w:rsidP="004F2067">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F2067">
        <w:rPr>
          <w:rFonts w:ascii="Arial" w:hAnsi="Arial" w:cs="Arial"/>
          <w:sz w:val="19"/>
          <w:szCs w:val="19"/>
        </w:rPr>
        <w:t>The loading process to the Integration Layer will be easier since selections on date time values can be made</w:t>
      </w:r>
    </w:p>
    <w:p w:rsidR="004F2067" w:rsidRPr="004F2067" w:rsidRDefault="004F2067" w:rsidP="004F2067">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F2067">
        <w:rPr>
          <w:rFonts w:ascii="Arial" w:hAnsi="Arial" w:cs="Arial"/>
          <w:sz w:val="19"/>
          <w:szCs w:val="19"/>
        </w:rPr>
        <w:t>Track and audit history in source format</w:t>
      </w:r>
    </w:p>
    <w:p w:rsidR="004F2067" w:rsidRPr="004F2067" w:rsidRDefault="004F2067" w:rsidP="004F2067">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F2067">
        <w:rPr>
          <w:rFonts w:ascii="Arial" w:hAnsi="Arial" w:cs="Arial"/>
          <w:sz w:val="19"/>
          <w:szCs w:val="19"/>
        </w:rPr>
        <w:t>What-If analysis based on source data</w:t>
      </w:r>
    </w:p>
    <w:p w:rsidR="004F2067" w:rsidRPr="004F2067" w:rsidRDefault="004F2067" w:rsidP="004F2067">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F2067">
        <w:rPr>
          <w:rFonts w:ascii="Arial" w:hAnsi="Arial" w:cs="Arial"/>
          <w:sz w:val="19"/>
          <w:szCs w:val="19"/>
        </w:rPr>
        <w:t>A generic foundation for the Data Warehouse can be deployed early in the project lifecycle where changes are already captured before the full Data Warehouse design has been completed</w:t>
      </w:r>
    </w:p>
    <w:p w:rsidR="00FA4F2A" w:rsidRDefault="004F2067" w:rsidP="004F2067">
      <w:pPr>
        <w:pStyle w:val="BodyText1"/>
        <w:spacing w:after="0" w:line="240" w:lineRule="auto"/>
        <w:jc w:val="both"/>
        <w:rPr>
          <w:lang w:val="en-GB"/>
        </w:rPr>
      </w:pPr>
      <w:r w:rsidRPr="004F2067">
        <w:rPr>
          <w:lang w:val="en-GB"/>
        </w:rPr>
        <w:t xml:space="preserve">The </w:t>
      </w:r>
      <w:r w:rsidR="00FA4F2A">
        <w:rPr>
          <w:lang w:val="en-GB"/>
        </w:rPr>
        <w:t>PSA</w:t>
      </w:r>
      <w:r w:rsidRPr="004F2067">
        <w:rPr>
          <w:lang w:val="en-GB"/>
        </w:rPr>
        <w:t xml:space="preserve"> provides these benefits at the cost of extra disk space, ETL development and maintenance.</w:t>
      </w:r>
      <w:r w:rsidR="00FA4F2A">
        <w:rPr>
          <w:lang w:val="en-GB"/>
        </w:rPr>
        <w:t xml:space="preserve"> However, a PSA does not necessarily need to be configured as a database; a scalable file storage environment (HDFS, Azure Data Lake or Amazon S3) can be adopted as well.</w:t>
      </w:r>
      <w:r w:rsidRPr="004F2067">
        <w:rPr>
          <w:lang w:val="en-GB"/>
        </w:rPr>
        <w:t xml:space="preserve"> </w:t>
      </w:r>
    </w:p>
    <w:p w:rsidR="00FA4F2A" w:rsidRDefault="00FA4F2A" w:rsidP="004F2067">
      <w:pPr>
        <w:pStyle w:val="BodyText1"/>
        <w:spacing w:after="0" w:line="240" w:lineRule="auto"/>
        <w:jc w:val="both"/>
        <w:rPr>
          <w:lang w:val="en-GB"/>
        </w:rPr>
      </w:pPr>
    </w:p>
    <w:p w:rsidR="00757961" w:rsidRDefault="004F2067" w:rsidP="004F2067">
      <w:pPr>
        <w:pStyle w:val="BodyText1"/>
        <w:spacing w:after="0" w:line="240" w:lineRule="auto"/>
        <w:jc w:val="both"/>
        <w:rPr>
          <w:lang w:val="en-GB"/>
        </w:rPr>
      </w:pPr>
      <w:r w:rsidRPr="004F2067">
        <w:rPr>
          <w:lang w:val="en-GB"/>
        </w:rPr>
        <w:t>Due to the generic nature of this design depending on the ETL software used these ETL processes and table structures can be created using development patterns / automation.</w:t>
      </w:r>
    </w:p>
    <w:p w:rsidR="00757961" w:rsidRDefault="00757961" w:rsidP="004F2067">
      <w:pPr>
        <w:pStyle w:val="BodyText1"/>
        <w:spacing w:after="0" w:line="240" w:lineRule="auto"/>
        <w:jc w:val="both"/>
        <w:rPr>
          <w:lang w:val="en-GB"/>
        </w:rPr>
      </w:pPr>
    </w:p>
    <w:p w:rsidR="00757961" w:rsidRPr="004F2067" w:rsidRDefault="00757961" w:rsidP="00757961">
      <w:pPr>
        <w:pStyle w:val="NoHeading3"/>
      </w:pPr>
      <w:bookmarkStart w:id="12" w:name="_Toc259535052"/>
      <w:bookmarkStart w:id="13" w:name="_Toc502672587"/>
      <w:r>
        <w:t xml:space="preserve">Implementing </w:t>
      </w:r>
      <w:r w:rsidRPr="004F2067">
        <w:t>Change Data Capture</w:t>
      </w:r>
      <w:bookmarkEnd w:id="12"/>
      <w:bookmarkEnd w:id="13"/>
    </w:p>
    <w:p w:rsidR="00757961" w:rsidRPr="004F2067" w:rsidRDefault="00757961" w:rsidP="00757961">
      <w:pPr>
        <w:pStyle w:val="BodyText1"/>
        <w:spacing w:after="0" w:line="240" w:lineRule="auto"/>
        <w:jc w:val="both"/>
        <w:rPr>
          <w:lang w:val="en-GB"/>
        </w:rPr>
      </w:pPr>
      <w:r w:rsidRPr="004F2067">
        <w:rPr>
          <w:lang w:val="en-GB"/>
        </w:rPr>
        <w:t>The way data is loaded into the staging tables depends very much on the source system, company guidelines and general availability. Different ways of approaching change data capture and acquiring data in general are:</w:t>
      </w:r>
    </w:p>
    <w:p w:rsidR="00757961" w:rsidRPr="004F2067"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F2067">
        <w:rPr>
          <w:rFonts w:ascii="Arial" w:hAnsi="Arial" w:cs="Arial"/>
          <w:sz w:val="19"/>
          <w:szCs w:val="19"/>
        </w:rPr>
        <w:t>Implement a Change Data Capture (CDC) mechanism and/or replication</w:t>
      </w:r>
      <w:r>
        <w:rPr>
          <w:rFonts w:ascii="Arial" w:hAnsi="Arial" w:cs="Arial"/>
          <w:sz w:val="19"/>
          <w:szCs w:val="19"/>
        </w:rPr>
        <w:t xml:space="preserve"> mechanism on the source system</w:t>
      </w:r>
    </w:p>
    <w:p w:rsidR="00757961" w:rsidRPr="004F2067"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F2067">
        <w:rPr>
          <w:rFonts w:ascii="Arial" w:hAnsi="Arial" w:cs="Arial"/>
          <w:sz w:val="19"/>
          <w:szCs w:val="19"/>
        </w:rPr>
        <w:t>Obtain a periodical delta, either through a flat file/CSV dump, by querying the entire source table through a database connection or by having source systems load data into the Staging Area directly.</w:t>
      </w:r>
    </w:p>
    <w:p w:rsidR="00757961" w:rsidRPr="004F2067"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F2067">
        <w:rPr>
          <w:rFonts w:ascii="Arial" w:hAnsi="Arial" w:cs="Arial"/>
          <w:sz w:val="19"/>
          <w:szCs w:val="19"/>
        </w:rPr>
        <w:t>Subscribe to an Enterprise Service Bus / m</w:t>
      </w:r>
      <w:r>
        <w:rPr>
          <w:rFonts w:ascii="Arial" w:hAnsi="Arial" w:cs="Arial"/>
          <w:sz w:val="19"/>
          <w:szCs w:val="19"/>
        </w:rPr>
        <w:t>essaging / custom XML canonical</w:t>
      </w:r>
    </w:p>
    <w:p w:rsidR="00757961" w:rsidRPr="004F2067"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4F2067">
        <w:rPr>
          <w:rFonts w:ascii="Arial" w:hAnsi="Arial" w:cs="Arial"/>
          <w:sz w:val="19"/>
          <w:szCs w:val="19"/>
        </w:rPr>
        <w:t>Obtain a full load every run to compare against the previous full load. The delta; new or deleted records can be derived from these two data sets. If full loads are received the delta itself has to be derived before further processing can continue. After the detection of the delta the usual staging ar</w:t>
      </w:r>
      <w:r>
        <w:rPr>
          <w:rFonts w:ascii="Arial" w:hAnsi="Arial" w:cs="Arial"/>
          <w:sz w:val="19"/>
          <w:szCs w:val="19"/>
        </w:rPr>
        <w:t>ea processes can be implemented</w:t>
      </w:r>
    </w:p>
    <w:p w:rsidR="00757961" w:rsidRDefault="00757961" w:rsidP="00757961">
      <w:pPr>
        <w:pStyle w:val="BodyText1"/>
        <w:spacing w:after="0" w:line="240" w:lineRule="auto"/>
        <w:jc w:val="both"/>
        <w:rPr>
          <w:lang w:val="en-GB"/>
        </w:rPr>
      </w:pPr>
      <w:r w:rsidRPr="004F2067">
        <w:rPr>
          <w:lang w:val="en-GB"/>
        </w:rPr>
        <w:t xml:space="preserve">The preference would be to use an existing interface since it bypasses a number of discussions regarding definitions of the data used in the Data Warehouse. Additionally this also provides automatic auditing capabilities. The comparison between current and previous full loads is the least attractive option since this will not be possible when dealing with large data sets. The best practice approach is to let the source systems provide the delta automatically. This provides a clear split between responsibilities and reduces a significant amount of complexity. These responsibilities </w:t>
      </w:r>
      <w:r>
        <w:rPr>
          <w:lang w:val="en-GB"/>
        </w:rPr>
        <w:t xml:space="preserve">are ideally </w:t>
      </w:r>
      <w:r w:rsidRPr="004F2067">
        <w:rPr>
          <w:lang w:val="en-GB"/>
        </w:rPr>
        <w:t>documented in an interface agreement which should contain not only structure, frequency and uptime but also communication plans in case of changes and disaster recovery.</w:t>
      </w:r>
    </w:p>
    <w:p w:rsidR="00757961" w:rsidRPr="004F2067" w:rsidRDefault="00757961" w:rsidP="00757961">
      <w:pPr>
        <w:pStyle w:val="BodyText1"/>
        <w:spacing w:after="0" w:line="240" w:lineRule="auto"/>
        <w:jc w:val="both"/>
        <w:rPr>
          <w:lang w:val="en-GB"/>
        </w:rPr>
      </w:pPr>
    </w:p>
    <w:p w:rsidR="00757961" w:rsidRDefault="00757961" w:rsidP="00757961">
      <w:pPr>
        <w:pStyle w:val="BodyText1"/>
        <w:spacing w:after="0" w:line="240" w:lineRule="auto"/>
        <w:jc w:val="both"/>
        <w:rPr>
          <w:lang w:val="en-GB"/>
        </w:rPr>
      </w:pPr>
      <w:r w:rsidRPr="004F2067">
        <w:rPr>
          <w:lang w:val="en-GB"/>
        </w:rPr>
        <w:t xml:space="preserve">Enterprise Service Bus (ESB) solutions (including canonical definitions) are often regarded as the most advanced solution for data exchange. If possible, this is an ideal source for Data Warehouses because the ESB concept significantly reduces data issues and consistency while at the same time providing more accurate and traceable timing information about data. Depending on the type of message, ESBs can be a potential bottleneck for large volumes of data. For instance XML messages are very verbose, whereas SWIFT messages are not. </w:t>
      </w:r>
    </w:p>
    <w:p w:rsidR="00757961" w:rsidRPr="004F2067" w:rsidRDefault="00757961" w:rsidP="00757961">
      <w:pPr>
        <w:pStyle w:val="BodyText1"/>
        <w:spacing w:after="0" w:line="240" w:lineRule="auto"/>
        <w:jc w:val="both"/>
        <w:rPr>
          <w:lang w:val="en-GB"/>
        </w:rPr>
      </w:pPr>
      <w:r w:rsidRPr="004F2067">
        <w:rPr>
          <w:lang w:val="en-GB"/>
        </w:rPr>
        <w:lastRenderedPageBreak/>
        <w:t xml:space="preserve">For this reason care has to be taken to estimate the ESB bandwidth for large delta volumes. In most cases ETL is regarded as the data transfer mechanism for large sets of data (typically batch oriented) while ESBs are used to exchange smaller bits of information (messages) in near real time. </w:t>
      </w:r>
    </w:p>
    <w:p w:rsidR="00757961" w:rsidRDefault="00757961" w:rsidP="00757961">
      <w:pPr>
        <w:pStyle w:val="NoHeading3"/>
      </w:pPr>
      <w:bookmarkStart w:id="14" w:name="_Toc259535053"/>
      <w:bookmarkStart w:id="15" w:name="_Toc502672588"/>
      <w:r>
        <w:t>Handling Logical Deletes</w:t>
      </w:r>
      <w:bookmarkEnd w:id="14"/>
      <w:bookmarkEnd w:id="15"/>
    </w:p>
    <w:p w:rsidR="00757961" w:rsidRDefault="00757961" w:rsidP="00757961">
      <w:pPr>
        <w:jc w:val="both"/>
        <w:rPr>
          <w:lang w:val="en-GB"/>
        </w:rPr>
      </w:pPr>
      <w:r w:rsidRPr="004F2067">
        <w:rPr>
          <w:lang w:val="en-GB"/>
        </w:rPr>
        <w:t xml:space="preserve">When defining the connection between a source and the staging area an attempt should be made to capture logical deletes. This requires the source to have implemented a change data capture mechanism, or this can be derived from comparing full sets of data. </w:t>
      </w:r>
    </w:p>
    <w:p w:rsidR="00757961" w:rsidRPr="004F2067" w:rsidRDefault="00757961" w:rsidP="00757961">
      <w:pPr>
        <w:jc w:val="both"/>
        <w:rPr>
          <w:lang w:val="en-GB"/>
        </w:rPr>
      </w:pPr>
    </w:p>
    <w:p w:rsidR="00757961" w:rsidRPr="004F2067" w:rsidRDefault="00757961" w:rsidP="00757961">
      <w:pPr>
        <w:jc w:val="both"/>
        <w:rPr>
          <w:lang w:val="en-GB"/>
        </w:rPr>
      </w:pPr>
      <w:r w:rsidRPr="004F2067">
        <w:rPr>
          <w:lang w:val="en-GB"/>
        </w:rPr>
        <w:t>Either way, logical deletes should be a</w:t>
      </w:r>
      <w:r>
        <w:rPr>
          <w:lang w:val="en-GB"/>
        </w:rPr>
        <w:t xml:space="preserve">dded as a ‘CDC Operation’ </w:t>
      </w:r>
      <w:r w:rsidRPr="004F2067">
        <w:rPr>
          <w:lang w:val="en-GB"/>
        </w:rPr>
        <w:t>attribute.</w:t>
      </w:r>
      <w:r>
        <w:rPr>
          <w:lang w:val="en-GB"/>
        </w:rPr>
        <w:t xml:space="preserve"> </w:t>
      </w:r>
      <w:r w:rsidRPr="004F2067">
        <w:rPr>
          <w:lang w:val="en-GB"/>
        </w:rPr>
        <w:t>If the Data Warehouse does not capture logical deletes and the source system can physically delete records inconsistencies will appear without any option to reconcile and audit these differences.</w:t>
      </w:r>
    </w:p>
    <w:p w:rsidR="00757961" w:rsidRDefault="00757961" w:rsidP="00757961">
      <w:pPr>
        <w:pStyle w:val="NoHeading3"/>
      </w:pPr>
      <w:bookmarkStart w:id="16" w:name="_Toc259535055"/>
      <w:bookmarkStart w:id="17" w:name="_Toc502672589"/>
      <w:r w:rsidRPr="00010084">
        <w:t>Transforming / streamlining source</w:t>
      </w:r>
      <w:r>
        <w:t xml:space="preserve"> data types</w:t>
      </w:r>
      <w:bookmarkEnd w:id="16"/>
      <w:bookmarkEnd w:id="17"/>
    </w:p>
    <w:p w:rsidR="00757961" w:rsidRDefault="00757961" w:rsidP="00757961">
      <w:pPr>
        <w:pStyle w:val="BodyText1"/>
        <w:spacing w:after="0" w:line="240" w:lineRule="auto"/>
        <w:jc w:val="both"/>
        <w:rPr>
          <w:lang w:val="en-GB"/>
        </w:rPr>
      </w:pPr>
      <w:r w:rsidRPr="00010084">
        <w:rPr>
          <w:lang w:val="en-GB"/>
        </w:rPr>
        <w:t>By their nature, source systems in an Enterprise Data Warehouse can consist of a great variety of different methods and technologies which lead to different data types. To make processing later on easier these different data types are mapped to a minimal set of values. This process is done without losing information which means no rounding of precisions / scales or limiting string lengths. Another major reason for this approach is to provide some protection from changes done in source systems. For instance, the Data Warehouse is not impacted if a text field is made bigger in the source system.</w:t>
      </w:r>
    </w:p>
    <w:p w:rsidR="00757961" w:rsidRDefault="00757961" w:rsidP="00757961">
      <w:pPr>
        <w:pStyle w:val="BodyText1"/>
        <w:spacing w:after="0" w:line="240" w:lineRule="auto"/>
        <w:jc w:val="both"/>
        <w:rPr>
          <w:lang w:val="en-GB"/>
        </w:rPr>
      </w:pPr>
    </w:p>
    <w:p w:rsidR="00757961" w:rsidRPr="00010084" w:rsidRDefault="00757961" w:rsidP="00757961">
      <w:pPr>
        <w:pStyle w:val="BodyText1"/>
        <w:spacing w:after="0" w:line="240" w:lineRule="auto"/>
        <w:jc w:val="both"/>
        <w:rPr>
          <w:lang w:val="en-GB"/>
        </w:rPr>
      </w:pPr>
      <w:r w:rsidRPr="00010084">
        <w:rPr>
          <w:lang w:val="en-GB"/>
        </w:rPr>
        <w:t>The formatting of data types is done in the following way:</w:t>
      </w:r>
    </w:p>
    <w:p w:rsidR="00757961" w:rsidRPr="00010084"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10084">
        <w:rPr>
          <w:rFonts w:ascii="Arial" w:hAnsi="Arial" w:cs="Arial"/>
          <w:sz w:val="19"/>
          <w:szCs w:val="19"/>
        </w:rPr>
        <w:t xml:space="preserve">Any text attributes smaller or equal than 100 positions will be </w:t>
      </w:r>
      <w:r>
        <w:rPr>
          <w:rFonts w:ascii="Arial" w:hAnsi="Arial" w:cs="Arial"/>
          <w:sz w:val="19"/>
          <w:szCs w:val="19"/>
        </w:rPr>
        <w:t>mapped to VARCHAR</w:t>
      </w:r>
      <w:r w:rsidRPr="00010084">
        <w:rPr>
          <w:rFonts w:ascii="Arial" w:hAnsi="Arial" w:cs="Arial"/>
          <w:sz w:val="19"/>
          <w:szCs w:val="19"/>
        </w:rPr>
        <w:t>(100) or similar</w:t>
      </w:r>
    </w:p>
    <w:p w:rsidR="00757961" w:rsidRPr="00010084"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10084">
        <w:rPr>
          <w:rFonts w:ascii="Arial" w:hAnsi="Arial" w:cs="Arial"/>
          <w:sz w:val="19"/>
          <w:szCs w:val="19"/>
        </w:rPr>
        <w:t>Any text attributes higher than 100 but smaller or equal than</w:t>
      </w:r>
      <w:r>
        <w:rPr>
          <w:rFonts w:ascii="Arial" w:hAnsi="Arial" w:cs="Arial"/>
          <w:sz w:val="19"/>
          <w:szCs w:val="19"/>
        </w:rPr>
        <w:t xml:space="preserve"> 1000 will be mapped to VARCHAR </w:t>
      </w:r>
      <w:r w:rsidRPr="00010084">
        <w:rPr>
          <w:rFonts w:ascii="Arial" w:hAnsi="Arial" w:cs="Arial"/>
          <w:sz w:val="19"/>
          <w:szCs w:val="19"/>
        </w:rPr>
        <w:t>(1000) or similar</w:t>
      </w:r>
    </w:p>
    <w:p w:rsidR="00757961" w:rsidRPr="00010084"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10084">
        <w:rPr>
          <w:rFonts w:ascii="Arial" w:hAnsi="Arial" w:cs="Arial"/>
          <w:sz w:val="19"/>
          <w:szCs w:val="19"/>
        </w:rPr>
        <w:t>The rest of the text attri</w:t>
      </w:r>
      <w:r>
        <w:rPr>
          <w:rFonts w:ascii="Arial" w:hAnsi="Arial" w:cs="Arial"/>
          <w:sz w:val="19"/>
          <w:szCs w:val="19"/>
        </w:rPr>
        <w:t>butes will be mapped to VARCHAR</w:t>
      </w:r>
      <w:r w:rsidRPr="00010084">
        <w:rPr>
          <w:rFonts w:ascii="Arial" w:hAnsi="Arial" w:cs="Arial"/>
          <w:sz w:val="19"/>
          <w:szCs w:val="19"/>
        </w:rPr>
        <w:t>(4000)</w:t>
      </w:r>
    </w:p>
    <w:p w:rsidR="00757961" w:rsidRPr="00010084"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10084">
        <w:rPr>
          <w:rFonts w:ascii="Arial" w:hAnsi="Arial" w:cs="Arial"/>
          <w:sz w:val="19"/>
          <w:szCs w:val="19"/>
        </w:rPr>
        <w:t>Dates, times, date times will be mapped to a high precision date/time (DATE, DATETIME2)</w:t>
      </w:r>
    </w:p>
    <w:p w:rsidR="00757961"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010084">
        <w:rPr>
          <w:rFonts w:ascii="Arial" w:hAnsi="Arial" w:cs="Arial"/>
          <w:sz w:val="19"/>
          <w:szCs w:val="19"/>
        </w:rPr>
        <w:t>All decimals or numeric values including Bits, Booleans and Floating Points will be mapped to a high precision numeric (NUMBER, NUMERIC(38,20))</w:t>
      </w:r>
    </w:p>
    <w:p w:rsidR="00757961" w:rsidRDefault="00757961" w:rsidP="00757961">
      <w:pPr>
        <w:pStyle w:val="NoHeading2"/>
      </w:pPr>
      <w:bookmarkStart w:id="18" w:name="_Toc502672590"/>
      <w:r>
        <w:t>Staging Layer relationships with error handling</w:t>
      </w:r>
      <w:bookmarkEnd w:id="18"/>
    </w:p>
    <w:p w:rsidR="00757961" w:rsidRDefault="00757961" w:rsidP="00757961">
      <w:pPr>
        <w:jc w:val="both"/>
        <w:rPr>
          <w:lang w:val="en-GB"/>
        </w:rPr>
      </w:pPr>
      <w:r w:rsidRPr="00565878">
        <w:rPr>
          <w:lang w:val="en-GB"/>
        </w:rPr>
        <w:t xml:space="preserve">The default design decision is to push any business logic or exception handling to the Integration Layer. </w:t>
      </w:r>
    </w:p>
    <w:p w:rsidR="00757961" w:rsidRDefault="00757961" w:rsidP="00757961">
      <w:pPr>
        <w:jc w:val="both"/>
        <w:rPr>
          <w:lang w:val="en-GB"/>
        </w:rPr>
      </w:pPr>
    </w:p>
    <w:p w:rsidR="00757961" w:rsidRDefault="00757961" w:rsidP="00757961">
      <w:pPr>
        <w:jc w:val="both"/>
        <w:rPr>
          <w:lang w:val="en-GB"/>
        </w:rPr>
      </w:pPr>
      <w:r w:rsidRPr="00565878">
        <w:rPr>
          <w:lang w:val="en-GB"/>
        </w:rPr>
        <w:t xml:space="preserve">This means that by default there is no explicit implementation of error handling in the Staging Layer since the overall design limits the occurrences of issues to a minimum. This expresses itself in various ways including the design to make source system attributes NULL-able. For this reason errors in the Staging Area are typically related to the technical environment (network outage, disk space etc.). </w:t>
      </w:r>
    </w:p>
    <w:p w:rsidR="00757961" w:rsidRPr="00565878" w:rsidRDefault="00757961" w:rsidP="00757961">
      <w:pPr>
        <w:jc w:val="both"/>
        <w:rPr>
          <w:lang w:val="en-GB"/>
        </w:rPr>
      </w:pPr>
    </w:p>
    <w:p w:rsidR="00757961" w:rsidRDefault="00757961" w:rsidP="00757961">
      <w:pPr>
        <w:jc w:val="both"/>
        <w:rPr>
          <w:lang w:val="en-GB"/>
        </w:rPr>
      </w:pPr>
      <w:r w:rsidRPr="00565878">
        <w:rPr>
          <w:lang w:val="en-GB"/>
        </w:rPr>
        <w:t>In this case the ETL process can simply be re-run as all ETL is designed to be run at any time, multiple times in sequence and able to proces</w:t>
      </w:r>
      <w:r>
        <w:rPr>
          <w:lang w:val="en-GB"/>
        </w:rPr>
        <w:t>s multiple delta sets in one go.</w:t>
      </w:r>
    </w:p>
    <w:p w:rsidR="00757961" w:rsidRPr="00565878" w:rsidRDefault="00757961" w:rsidP="00757961">
      <w:pPr>
        <w:jc w:val="both"/>
        <w:rPr>
          <w:lang w:val="en-GB"/>
        </w:rPr>
      </w:pPr>
    </w:p>
    <w:p w:rsidR="00757961" w:rsidRDefault="00757961" w:rsidP="00757961">
      <w:pPr>
        <w:jc w:val="both"/>
        <w:rPr>
          <w:lang w:val="en-GB"/>
        </w:rPr>
      </w:pPr>
      <w:r w:rsidRPr="00565878">
        <w:rPr>
          <w:lang w:val="en-GB"/>
        </w:rPr>
        <w:t xml:space="preserve">Depending on existing on-site conventions in some cases it may be required to convert data types for flat-files while loading the information to the Staging </w:t>
      </w:r>
      <w:r>
        <w:rPr>
          <w:lang w:val="en-GB"/>
        </w:rPr>
        <w:t>Layer</w:t>
      </w:r>
      <w:r w:rsidRPr="00565878">
        <w:rPr>
          <w:lang w:val="en-GB"/>
        </w:rPr>
        <w:t>.</w:t>
      </w:r>
      <w:r>
        <w:rPr>
          <w:lang w:val="en-GB"/>
        </w:rPr>
        <w:t xml:space="preserve"> </w:t>
      </w:r>
      <w:r w:rsidRPr="00565878">
        <w:rPr>
          <w:lang w:val="en-GB"/>
        </w:rPr>
        <w:t>In this scenario errors related to data type conversion can occur since flat files do not provide protection against incorrect data entry.</w:t>
      </w:r>
    </w:p>
    <w:p w:rsidR="00757961" w:rsidRDefault="00757961" w:rsidP="00757961">
      <w:pPr>
        <w:jc w:val="both"/>
        <w:rPr>
          <w:lang w:val="en-GB"/>
        </w:rPr>
      </w:pPr>
      <w:r w:rsidRPr="00565878">
        <w:rPr>
          <w:lang w:val="en-GB"/>
        </w:rPr>
        <w:t>For example, an attribute which is defined as date/time may contain a value of the 30th of February due to incorrect data entry.</w:t>
      </w:r>
      <w:r w:rsidRPr="00EC147D">
        <w:rPr>
          <w:rFonts w:ascii="Cambria" w:hAnsi="Cambria"/>
          <w:sz w:val="24"/>
          <w:szCs w:val="24"/>
          <w:lang w:val="en-US"/>
        </w:rPr>
        <w:t xml:space="preserve"> </w:t>
      </w:r>
      <w:r w:rsidRPr="00565878">
        <w:rPr>
          <w:lang w:val="en-GB"/>
        </w:rPr>
        <w:t xml:space="preserve">Processing will fail because of the domain restrictions on date/time fields. In this scenario the errors have to be explicitly captured and re-processed. </w:t>
      </w:r>
    </w:p>
    <w:p w:rsidR="00757961" w:rsidRPr="00565878" w:rsidRDefault="00757961" w:rsidP="00757961">
      <w:pPr>
        <w:jc w:val="both"/>
        <w:rPr>
          <w:lang w:val="en-GB"/>
        </w:rPr>
      </w:pPr>
    </w:p>
    <w:p w:rsidR="00757961" w:rsidRDefault="00757961" w:rsidP="00757961">
      <w:pPr>
        <w:jc w:val="both"/>
        <w:rPr>
          <w:lang w:val="en-GB"/>
        </w:rPr>
      </w:pPr>
      <w:r w:rsidRPr="00565878">
        <w:rPr>
          <w:lang w:val="en-GB"/>
        </w:rPr>
        <w:t xml:space="preserve">This is not the default and preferred solution. But to support this approach if required and only in this scenario for each a corresponding error table can be defined. This table will have the same schema structure and the following additional columns: </w:t>
      </w:r>
    </w:p>
    <w:p w:rsidR="00757961" w:rsidRPr="00565878" w:rsidRDefault="00757961" w:rsidP="00757961">
      <w:pPr>
        <w:rPr>
          <w:rFonts w:cs="Arial"/>
          <w:b/>
          <w:szCs w:val="19"/>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9"/>
        <w:gridCol w:w="1524"/>
        <w:gridCol w:w="3368"/>
      </w:tblGrid>
      <w:tr w:rsidR="00757961" w:rsidRPr="00565878" w:rsidTr="001D2697">
        <w:tc>
          <w:tcPr>
            <w:tcW w:w="4039" w:type="dxa"/>
            <w:shd w:val="clear" w:color="auto" w:fill="B8CCE4"/>
          </w:tcPr>
          <w:p w:rsidR="00757961" w:rsidRPr="00565878" w:rsidRDefault="00757961" w:rsidP="001D2697">
            <w:pPr>
              <w:rPr>
                <w:rFonts w:cs="Arial"/>
                <w:b/>
                <w:szCs w:val="19"/>
                <w:lang w:val="en-US"/>
              </w:rPr>
            </w:pPr>
            <w:r w:rsidRPr="00565878">
              <w:rPr>
                <w:rFonts w:cs="Arial"/>
                <w:b/>
                <w:szCs w:val="19"/>
                <w:lang w:val="en-US"/>
              </w:rPr>
              <w:t>Column Name</w:t>
            </w:r>
          </w:p>
        </w:tc>
        <w:tc>
          <w:tcPr>
            <w:tcW w:w="1524" w:type="dxa"/>
            <w:shd w:val="clear" w:color="auto" w:fill="B8CCE4"/>
          </w:tcPr>
          <w:p w:rsidR="00757961" w:rsidRPr="00565878" w:rsidRDefault="00757961" w:rsidP="001D2697">
            <w:pPr>
              <w:rPr>
                <w:rFonts w:cs="Arial"/>
                <w:b/>
                <w:szCs w:val="19"/>
                <w:lang w:val="en-US"/>
              </w:rPr>
            </w:pPr>
            <w:r w:rsidRPr="00565878">
              <w:rPr>
                <w:rFonts w:cs="Arial"/>
                <w:b/>
                <w:szCs w:val="19"/>
                <w:lang w:val="en-US"/>
              </w:rPr>
              <w:t>Data Type</w:t>
            </w:r>
          </w:p>
        </w:tc>
        <w:tc>
          <w:tcPr>
            <w:tcW w:w="3368" w:type="dxa"/>
            <w:shd w:val="clear" w:color="auto" w:fill="B8CCE4"/>
          </w:tcPr>
          <w:p w:rsidR="00757961" w:rsidRPr="00565878" w:rsidRDefault="00757961" w:rsidP="001D2697">
            <w:pPr>
              <w:rPr>
                <w:rFonts w:cs="Arial"/>
                <w:b/>
                <w:szCs w:val="19"/>
                <w:lang w:val="en-US"/>
              </w:rPr>
            </w:pPr>
            <w:r w:rsidRPr="00565878">
              <w:rPr>
                <w:rFonts w:cs="Arial"/>
                <w:b/>
                <w:szCs w:val="19"/>
                <w:lang w:val="en-US"/>
              </w:rPr>
              <w:t>Reasoning</w:t>
            </w:r>
          </w:p>
        </w:tc>
      </w:tr>
      <w:tr w:rsidR="00757961" w:rsidRPr="00D45FA4" w:rsidTr="001D2697">
        <w:tc>
          <w:tcPr>
            <w:tcW w:w="4039" w:type="dxa"/>
          </w:tcPr>
          <w:p w:rsidR="00757961" w:rsidRPr="00D80042" w:rsidRDefault="00757961" w:rsidP="001D2697">
            <w:pPr>
              <w:rPr>
                <w:rFonts w:cs="Arial"/>
                <w:sz w:val="17"/>
                <w:szCs w:val="17"/>
                <w:lang w:val="en-US"/>
              </w:rPr>
            </w:pPr>
            <w:r w:rsidRPr="00D80042">
              <w:rPr>
                <w:rFonts w:cs="Arial"/>
                <w:sz w:val="17"/>
                <w:szCs w:val="17"/>
                <w:lang w:val="en-US"/>
              </w:rPr>
              <w:t>ERROR_BITMAP</w:t>
            </w:r>
          </w:p>
        </w:tc>
        <w:tc>
          <w:tcPr>
            <w:tcW w:w="1524" w:type="dxa"/>
          </w:tcPr>
          <w:p w:rsidR="00757961" w:rsidRPr="00D80042" w:rsidRDefault="00757961" w:rsidP="001D2697">
            <w:pPr>
              <w:rPr>
                <w:rFonts w:cs="Arial"/>
                <w:sz w:val="17"/>
                <w:szCs w:val="17"/>
                <w:lang w:val="en-US"/>
              </w:rPr>
            </w:pPr>
            <w:r w:rsidRPr="00D80042">
              <w:rPr>
                <w:rFonts w:cs="Arial"/>
                <w:sz w:val="17"/>
                <w:szCs w:val="17"/>
                <w:lang w:val="en-US"/>
              </w:rPr>
              <w:t>INTEGER</w:t>
            </w:r>
          </w:p>
        </w:tc>
        <w:tc>
          <w:tcPr>
            <w:tcW w:w="3368" w:type="dxa"/>
          </w:tcPr>
          <w:p w:rsidR="00757961" w:rsidRPr="00D80042" w:rsidRDefault="00757961" w:rsidP="001D2697">
            <w:pPr>
              <w:rPr>
                <w:rFonts w:cs="Arial"/>
                <w:sz w:val="17"/>
                <w:szCs w:val="17"/>
                <w:lang w:val="en-US"/>
              </w:rPr>
            </w:pPr>
            <w:r w:rsidRPr="00D80042">
              <w:rPr>
                <w:rFonts w:cs="Arial"/>
                <w:sz w:val="17"/>
                <w:szCs w:val="17"/>
                <w:lang w:val="en-US"/>
              </w:rPr>
              <w:t>The bitmap containing multiple errors.</w:t>
            </w:r>
          </w:p>
        </w:tc>
      </w:tr>
      <w:tr w:rsidR="00757961" w:rsidRPr="00D45FA4" w:rsidTr="001D2697">
        <w:tc>
          <w:tcPr>
            <w:tcW w:w="4039" w:type="dxa"/>
          </w:tcPr>
          <w:p w:rsidR="00757961" w:rsidRPr="00D80042" w:rsidRDefault="00757961" w:rsidP="001D2697">
            <w:pPr>
              <w:rPr>
                <w:rFonts w:cs="Arial"/>
                <w:sz w:val="17"/>
                <w:szCs w:val="17"/>
                <w:lang w:val="en-US"/>
              </w:rPr>
            </w:pPr>
            <w:r w:rsidRPr="00D80042">
              <w:rPr>
                <w:rFonts w:cs="Arial"/>
                <w:sz w:val="17"/>
                <w:szCs w:val="17"/>
                <w:lang w:val="en-US"/>
              </w:rPr>
              <w:t>ERROR_DESCRIPTION</w:t>
            </w:r>
          </w:p>
        </w:tc>
        <w:tc>
          <w:tcPr>
            <w:tcW w:w="1524" w:type="dxa"/>
          </w:tcPr>
          <w:p w:rsidR="00757961" w:rsidRPr="00D80042" w:rsidRDefault="00757961" w:rsidP="001D2697">
            <w:pPr>
              <w:rPr>
                <w:rFonts w:cs="Arial"/>
                <w:sz w:val="17"/>
                <w:szCs w:val="17"/>
                <w:lang w:val="en-US"/>
              </w:rPr>
            </w:pPr>
            <w:r w:rsidRPr="00D80042">
              <w:rPr>
                <w:rFonts w:cs="Arial"/>
                <w:sz w:val="17"/>
                <w:szCs w:val="17"/>
                <w:lang w:val="en-US"/>
              </w:rPr>
              <w:t>VARCHAR(100)</w:t>
            </w:r>
          </w:p>
        </w:tc>
        <w:tc>
          <w:tcPr>
            <w:tcW w:w="3368" w:type="dxa"/>
          </w:tcPr>
          <w:p w:rsidR="00757961" w:rsidRPr="00D80042" w:rsidRDefault="00757961" w:rsidP="001D2697">
            <w:pPr>
              <w:rPr>
                <w:rFonts w:cs="Arial"/>
                <w:sz w:val="17"/>
                <w:szCs w:val="17"/>
                <w:lang w:val="en-US"/>
              </w:rPr>
            </w:pPr>
            <w:r w:rsidRPr="00D80042">
              <w:rPr>
                <w:rFonts w:cs="Arial"/>
                <w:sz w:val="17"/>
                <w:szCs w:val="17"/>
                <w:lang w:val="en-US"/>
              </w:rPr>
              <w:t>A description of the error.</w:t>
            </w:r>
          </w:p>
        </w:tc>
      </w:tr>
      <w:tr w:rsidR="00757961" w:rsidRPr="00D45FA4" w:rsidTr="001D2697">
        <w:tc>
          <w:tcPr>
            <w:tcW w:w="4039" w:type="dxa"/>
          </w:tcPr>
          <w:p w:rsidR="00757961" w:rsidRPr="00D80042" w:rsidRDefault="00757961" w:rsidP="001D2697">
            <w:pPr>
              <w:rPr>
                <w:rFonts w:cs="Arial"/>
                <w:sz w:val="17"/>
                <w:szCs w:val="17"/>
                <w:lang w:val="en-US"/>
              </w:rPr>
            </w:pPr>
            <w:r w:rsidRPr="00D80042">
              <w:rPr>
                <w:rFonts w:cs="Arial"/>
                <w:sz w:val="17"/>
                <w:szCs w:val="17"/>
                <w:lang w:val="en-US"/>
              </w:rPr>
              <w:t>ERROR_RECYCLE_COUNT</w:t>
            </w:r>
          </w:p>
        </w:tc>
        <w:tc>
          <w:tcPr>
            <w:tcW w:w="1524" w:type="dxa"/>
          </w:tcPr>
          <w:p w:rsidR="00757961" w:rsidRPr="00D80042" w:rsidRDefault="00757961" w:rsidP="001D2697">
            <w:pPr>
              <w:rPr>
                <w:rFonts w:cs="Arial"/>
                <w:sz w:val="17"/>
                <w:szCs w:val="17"/>
                <w:lang w:val="en-US"/>
              </w:rPr>
            </w:pPr>
            <w:r w:rsidRPr="00D80042">
              <w:rPr>
                <w:rFonts w:cs="Arial"/>
                <w:sz w:val="17"/>
                <w:szCs w:val="17"/>
                <w:lang w:val="en-US"/>
              </w:rPr>
              <w:t>INTEGER</w:t>
            </w:r>
          </w:p>
        </w:tc>
        <w:tc>
          <w:tcPr>
            <w:tcW w:w="3368" w:type="dxa"/>
          </w:tcPr>
          <w:p w:rsidR="00757961" w:rsidRPr="00D80042" w:rsidRDefault="00757961" w:rsidP="001D2697">
            <w:pPr>
              <w:rPr>
                <w:rFonts w:cs="Arial"/>
                <w:sz w:val="17"/>
                <w:szCs w:val="17"/>
                <w:lang w:val="en-US"/>
              </w:rPr>
            </w:pPr>
            <w:r w:rsidRPr="00D80042">
              <w:rPr>
                <w:rFonts w:cs="Arial"/>
                <w:sz w:val="17"/>
                <w:szCs w:val="17"/>
                <w:lang w:val="en-US"/>
              </w:rPr>
              <w:t>The number of times the record has been processed and rejected to date.</w:t>
            </w:r>
          </w:p>
        </w:tc>
      </w:tr>
      <w:tr w:rsidR="00757961" w:rsidRPr="00D45FA4" w:rsidTr="001D2697">
        <w:tc>
          <w:tcPr>
            <w:tcW w:w="4039" w:type="dxa"/>
          </w:tcPr>
          <w:p w:rsidR="00757961" w:rsidRPr="00D80042" w:rsidRDefault="00757961" w:rsidP="001D2697">
            <w:pPr>
              <w:rPr>
                <w:rFonts w:cs="Arial"/>
                <w:sz w:val="17"/>
                <w:szCs w:val="17"/>
                <w:lang w:val="en-US"/>
              </w:rPr>
            </w:pPr>
            <w:r w:rsidRPr="00D80042">
              <w:rPr>
                <w:rFonts w:cs="Arial"/>
                <w:sz w:val="17"/>
                <w:szCs w:val="17"/>
                <w:lang w:val="en-US"/>
              </w:rPr>
              <w:t>ERROR_STATUS</w:t>
            </w:r>
          </w:p>
        </w:tc>
        <w:tc>
          <w:tcPr>
            <w:tcW w:w="1524" w:type="dxa"/>
          </w:tcPr>
          <w:p w:rsidR="00757961" w:rsidRPr="00D80042" w:rsidRDefault="00757961" w:rsidP="001D2697">
            <w:pPr>
              <w:rPr>
                <w:rFonts w:cs="Arial"/>
                <w:sz w:val="17"/>
                <w:szCs w:val="17"/>
                <w:lang w:val="en-US"/>
              </w:rPr>
            </w:pPr>
            <w:r w:rsidRPr="00D80042">
              <w:rPr>
                <w:rFonts w:cs="Arial"/>
                <w:sz w:val="17"/>
                <w:szCs w:val="17"/>
                <w:lang w:val="en-US"/>
              </w:rPr>
              <w:t>VARCHAR(100)</w:t>
            </w:r>
          </w:p>
        </w:tc>
        <w:tc>
          <w:tcPr>
            <w:tcW w:w="3368" w:type="dxa"/>
          </w:tcPr>
          <w:p w:rsidR="00757961" w:rsidRPr="00D80042" w:rsidRDefault="00757961" w:rsidP="001D2697">
            <w:pPr>
              <w:rPr>
                <w:rFonts w:cs="Arial"/>
                <w:sz w:val="17"/>
                <w:szCs w:val="17"/>
                <w:lang w:val="en-US"/>
              </w:rPr>
            </w:pPr>
            <w:r w:rsidRPr="00D80042">
              <w:rPr>
                <w:rFonts w:cs="Arial"/>
                <w:sz w:val="17"/>
                <w:szCs w:val="17"/>
                <w:lang w:val="en-US"/>
              </w:rPr>
              <w:t>OMD error status code (for instance ‘F’ for failure’).</w:t>
            </w:r>
          </w:p>
        </w:tc>
      </w:tr>
    </w:tbl>
    <w:p w:rsidR="00757961" w:rsidRPr="00565878" w:rsidRDefault="00757961" w:rsidP="00757961">
      <w:pPr>
        <w:jc w:val="both"/>
        <w:rPr>
          <w:lang w:val="en-GB"/>
        </w:rPr>
      </w:pPr>
    </w:p>
    <w:p w:rsidR="00757961" w:rsidRDefault="00757961" w:rsidP="00757961">
      <w:pPr>
        <w:jc w:val="both"/>
        <w:rPr>
          <w:lang w:val="en-GB"/>
        </w:rPr>
      </w:pPr>
      <w:r w:rsidRPr="00565878">
        <w:rPr>
          <w:lang w:val="en-GB"/>
        </w:rPr>
        <w:lastRenderedPageBreak/>
        <w:t xml:space="preserve">As mentioned above the default error handling strategy is to continue loading and to prevent error handling to hamper the data flow. Loading data into the Integration Layer provides flexibility to choose whether or not to select data based on completeness for loading to the </w:t>
      </w:r>
      <w:r>
        <w:rPr>
          <w:lang w:val="en-GB"/>
        </w:rPr>
        <w:t>information</w:t>
      </w:r>
      <w:r w:rsidRPr="00565878">
        <w:rPr>
          <w:lang w:val="en-GB"/>
        </w:rPr>
        <w:t xml:space="preserve"> marts. In this sense rejecting records because of an incorrect data type conversion does not stop the process.</w:t>
      </w:r>
    </w:p>
    <w:p w:rsidR="00757961" w:rsidRPr="00565878" w:rsidRDefault="00757961" w:rsidP="00757961">
      <w:pPr>
        <w:jc w:val="both"/>
        <w:rPr>
          <w:lang w:val="en-GB"/>
        </w:rPr>
      </w:pPr>
    </w:p>
    <w:p w:rsidR="00757961" w:rsidRDefault="00757961" w:rsidP="00757961">
      <w:pPr>
        <w:jc w:val="both"/>
        <w:rPr>
          <w:lang w:val="en-GB"/>
        </w:rPr>
      </w:pPr>
      <w:r w:rsidRPr="00565878">
        <w:rPr>
          <w:lang w:val="en-GB"/>
        </w:rPr>
        <w:t xml:space="preserve">Data conversion errors may also mean that the technical specification for the corresponding source system has been changed. And it is likely that this change has taken place without notice to the Data Integration team (but should be captured in an Interface Agreement).  In this case processing will fail and manual intervention from support is necessary. If error tables have been implemented the special care has to be taken when errors are solved in the source system. Since the record still exists in the recycling table the new one would be removed in favour of the recycle record. </w:t>
      </w:r>
    </w:p>
    <w:p w:rsidR="00757961" w:rsidRPr="00565878" w:rsidRDefault="00757961" w:rsidP="00757961">
      <w:pPr>
        <w:jc w:val="both"/>
        <w:rPr>
          <w:lang w:val="en-GB"/>
        </w:rPr>
      </w:pPr>
    </w:p>
    <w:p w:rsidR="00757961" w:rsidRPr="00565878" w:rsidRDefault="00757961" w:rsidP="00757961">
      <w:pPr>
        <w:jc w:val="both"/>
        <w:rPr>
          <w:lang w:val="en-GB"/>
        </w:rPr>
      </w:pPr>
      <w:r w:rsidRPr="00565878">
        <w:rPr>
          <w:lang w:val="en-GB"/>
        </w:rPr>
        <w:t>There are a number of choices that can be made on this topic, depending on the requirements:</w:t>
      </w:r>
    </w:p>
    <w:p w:rsidR="00757961" w:rsidRPr="00565878"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A partial load of source data (a result of rejected records) may have an impact downstream in the Presentation Layer (for instance inaccurate summary figures). Discretion has to be applied when deciding if the entire load process (current load and all subsequent loads) should be terminated when encountering rejected records</w:t>
      </w:r>
    </w:p>
    <w:p w:rsidR="00757961" w:rsidRPr="00565878"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In situations where accuracy in the Presentation Layer is not vital (for instance a CRM data mart), loads with a tolerable threshold on the number of rejected records may allowed to continue</w:t>
      </w:r>
    </w:p>
    <w:p w:rsidR="00757961" w:rsidRPr="00565878" w:rsidRDefault="00757961" w:rsidP="0075796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Where there is a mix of data marts where data completeness and accuracy is vital to some of the data marts and not others (Finance data mart versus CRM data mart), strategies can be put in place to permit partial load while minimizing its impact on all data marts. A possible approach is to filter out partial loads (based on an OMD ID such as BATCH_ID) as well as all subsequent loads when populating data marts that require data to be complete and accurate</w:t>
      </w:r>
    </w:p>
    <w:p w:rsidR="00757961" w:rsidRPr="00565878" w:rsidRDefault="00757961" w:rsidP="00757961">
      <w:pPr>
        <w:jc w:val="both"/>
        <w:rPr>
          <w:lang w:val="en-GB"/>
        </w:rPr>
      </w:pPr>
      <w:r w:rsidRPr="00565878">
        <w:rPr>
          <w:lang w:val="en-GB"/>
        </w:rPr>
        <w:t>The complete error handling for each layer in the architect</w:t>
      </w:r>
      <w:r>
        <w:rPr>
          <w:lang w:val="en-GB"/>
        </w:rPr>
        <w:t>ure is documented in detail in the error handling and recycling approach</w:t>
      </w:r>
      <w:bookmarkStart w:id="19" w:name="_GoBack"/>
      <w:bookmarkEnd w:id="19"/>
      <w:r>
        <w:rPr>
          <w:lang w:val="en-GB"/>
        </w:rPr>
        <w:t>.</w:t>
      </w:r>
    </w:p>
    <w:p w:rsidR="00757961" w:rsidRPr="00757961" w:rsidRDefault="00757961" w:rsidP="00757961">
      <w:pPr>
        <w:spacing w:before="120" w:after="120"/>
        <w:jc w:val="both"/>
        <w:rPr>
          <w:rFonts w:cs="Arial"/>
          <w:szCs w:val="19"/>
        </w:rPr>
      </w:pPr>
    </w:p>
    <w:p w:rsidR="004F2067" w:rsidRPr="004F2067" w:rsidRDefault="004F2067" w:rsidP="004F2067">
      <w:pPr>
        <w:pStyle w:val="BodyText1"/>
        <w:spacing w:after="0" w:line="240" w:lineRule="auto"/>
        <w:jc w:val="both"/>
        <w:rPr>
          <w:lang w:val="en-GB"/>
        </w:rPr>
      </w:pPr>
      <w:r w:rsidRPr="004F2067">
        <w:rPr>
          <w:lang w:val="en-GB"/>
        </w:rPr>
        <w:br w:type="page"/>
      </w:r>
    </w:p>
    <w:p w:rsidR="004F2067" w:rsidRDefault="004F2067" w:rsidP="004F2067">
      <w:pPr>
        <w:pStyle w:val="NoHeading1"/>
      </w:pPr>
      <w:bookmarkStart w:id="20" w:name="_Toc383657295"/>
      <w:bookmarkStart w:id="21" w:name="_Toc502672591"/>
      <w:r w:rsidRPr="005E16E5">
        <w:lastRenderedPageBreak/>
        <w:t xml:space="preserve">The </w:t>
      </w:r>
      <w:r>
        <w:t>Staging</w:t>
      </w:r>
      <w:r w:rsidRPr="005E16E5">
        <w:t xml:space="preserve"> Area</w:t>
      </w:r>
      <w:bookmarkEnd w:id="20"/>
      <w:bookmarkEnd w:id="21"/>
    </w:p>
    <w:p w:rsidR="004F2067" w:rsidRPr="004F2067" w:rsidRDefault="004F2067" w:rsidP="004F2067">
      <w:pPr>
        <w:pStyle w:val="BodyText1"/>
        <w:spacing w:after="0" w:line="240" w:lineRule="auto"/>
        <w:jc w:val="both"/>
        <w:rPr>
          <w:lang w:val="en-GB"/>
        </w:rPr>
      </w:pPr>
      <w:r w:rsidRPr="004F2067">
        <w:rPr>
          <w:lang w:val="en-GB"/>
        </w:rPr>
        <w:t>This section describes both the concepts and structure of the Staging Area in detail.</w:t>
      </w:r>
    </w:p>
    <w:p w:rsidR="004F2067" w:rsidRDefault="004F2067" w:rsidP="004F2067">
      <w:pPr>
        <w:pStyle w:val="NoHeading2"/>
      </w:pPr>
      <w:bookmarkStart w:id="22" w:name="_Toc383657297"/>
      <w:bookmarkStart w:id="23" w:name="_Toc502672592"/>
      <w:r>
        <w:t>Staging Area</w:t>
      </w:r>
      <w:r w:rsidRPr="005E16E5">
        <w:t xml:space="preserve"> table structure</w:t>
      </w:r>
      <w:bookmarkEnd w:id="22"/>
      <w:bookmarkEnd w:id="23"/>
    </w:p>
    <w:p w:rsidR="00B4763A" w:rsidRDefault="004F2067" w:rsidP="004F2067">
      <w:pPr>
        <w:jc w:val="both"/>
        <w:rPr>
          <w:lang w:val="en-GB"/>
        </w:rPr>
      </w:pPr>
      <w:r w:rsidRPr="00565878">
        <w:rPr>
          <w:lang w:val="en-GB"/>
        </w:rPr>
        <w:t xml:space="preserve">The Staging Area is </w:t>
      </w:r>
      <w:r w:rsidR="00B4763A" w:rsidRPr="00565878">
        <w:rPr>
          <w:lang w:val="en-GB"/>
        </w:rPr>
        <w:t>modelled</w:t>
      </w:r>
      <w:r w:rsidRPr="00565878">
        <w:rPr>
          <w:lang w:val="en-GB"/>
        </w:rPr>
        <w:t xml:space="preserve"> after the structure of the application that supplies the data. This excludes all constraints or referential integrity the source tables might have; the Data Warehouse assumes the source systems handle this, and otherwise this will be handled by the Integration / Presentation Layer processes of the Data Warehouse. </w:t>
      </w:r>
    </w:p>
    <w:p w:rsidR="00B4763A" w:rsidRDefault="00B4763A" w:rsidP="004F2067">
      <w:pPr>
        <w:jc w:val="both"/>
        <w:rPr>
          <w:lang w:val="en-GB"/>
        </w:rPr>
      </w:pPr>
    </w:p>
    <w:p w:rsidR="004F2067" w:rsidRDefault="004F2067" w:rsidP="004F2067">
      <w:pPr>
        <w:jc w:val="both"/>
        <w:rPr>
          <w:lang w:val="en-GB"/>
        </w:rPr>
      </w:pPr>
      <w:r w:rsidRPr="00565878">
        <w:rPr>
          <w:lang w:val="en-GB"/>
        </w:rPr>
        <w:t>The structure of the Staging Area therefore is the same as the source table, but always containing the following process attributes:</w:t>
      </w:r>
    </w:p>
    <w:p w:rsidR="00B4763A" w:rsidRDefault="00B4763A" w:rsidP="004F2067">
      <w:pPr>
        <w:jc w:val="both"/>
        <w:rPr>
          <w:lang w:val="en-GB"/>
        </w:rPr>
      </w:pP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275"/>
        <w:gridCol w:w="1418"/>
        <w:gridCol w:w="3538"/>
        <w:gridCol w:w="1990"/>
      </w:tblGrid>
      <w:tr w:rsidR="00B4763A" w:rsidRPr="00D45FA4" w:rsidTr="001D2697">
        <w:tc>
          <w:tcPr>
            <w:tcW w:w="2269" w:type="dxa"/>
            <w:shd w:val="clear" w:color="auto" w:fill="B8CCE4"/>
          </w:tcPr>
          <w:p w:rsidR="00B4763A" w:rsidRPr="00D80042" w:rsidRDefault="00B4763A" w:rsidP="001D2697">
            <w:pPr>
              <w:rPr>
                <w:rFonts w:cs="Arial"/>
                <w:b/>
                <w:szCs w:val="19"/>
                <w:lang w:val="en-US"/>
              </w:rPr>
            </w:pPr>
            <w:r w:rsidRPr="00D80042">
              <w:rPr>
                <w:rFonts w:cs="Arial"/>
                <w:b/>
                <w:szCs w:val="19"/>
                <w:lang w:val="en-US"/>
              </w:rPr>
              <w:t>Column Name</w:t>
            </w:r>
          </w:p>
        </w:tc>
        <w:tc>
          <w:tcPr>
            <w:tcW w:w="1275" w:type="dxa"/>
            <w:shd w:val="clear" w:color="auto" w:fill="B8CCE4"/>
          </w:tcPr>
          <w:p w:rsidR="00B4763A" w:rsidRPr="00D80042" w:rsidRDefault="00B4763A" w:rsidP="001D2697">
            <w:pPr>
              <w:rPr>
                <w:rFonts w:cs="Arial"/>
                <w:b/>
                <w:szCs w:val="19"/>
                <w:lang w:val="en-US"/>
              </w:rPr>
            </w:pPr>
            <w:r>
              <w:rPr>
                <w:rFonts w:cs="Arial"/>
                <w:b/>
                <w:szCs w:val="19"/>
                <w:lang w:val="en-US"/>
              </w:rPr>
              <w:t>Required / Optional</w:t>
            </w:r>
          </w:p>
        </w:tc>
        <w:tc>
          <w:tcPr>
            <w:tcW w:w="1418" w:type="dxa"/>
            <w:shd w:val="clear" w:color="auto" w:fill="B8CCE4"/>
          </w:tcPr>
          <w:p w:rsidR="00B4763A" w:rsidRPr="00D80042" w:rsidRDefault="00B4763A" w:rsidP="001D2697">
            <w:pPr>
              <w:rPr>
                <w:rFonts w:cs="Arial"/>
                <w:b/>
                <w:szCs w:val="19"/>
                <w:lang w:val="en-US"/>
              </w:rPr>
            </w:pPr>
            <w:r w:rsidRPr="00D80042">
              <w:rPr>
                <w:rFonts w:cs="Arial"/>
                <w:b/>
                <w:szCs w:val="19"/>
                <w:lang w:val="en-US"/>
              </w:rPr>
              <w:t>Data Type</w:t>
            </w:r>
            <w:r>
              <w:rPr>
                <w:rFonts w:cs="Arial"/>
                <w:b/>
                <w:szCs w:val="19"/>
                <w:lang w:val="en-US"/>
              </w:rPr>
              <w:t xml:space="preserve"> / constraint</w:t>
            </w:r>
          </w:p>
        </w:tc>
        <w:tc>
          <w:tcPr>
            <w:tcW w:w="3538" w:type="dxa"/>
            <w:shd w:val="clear" w:color="auto" w:fill="B8CCE4"/>
          </w:tcPr>
          <w:p w:rsidR="00B4763A" w:rsidRPr="00D80042" w:rsidRDefault="00B4763A" w:rsidP="001D2697">
            <w:pPr>
              <w:rPr>
                <w:rFonts w:cs="Arial"/>
                <w:b/>
                <w:szCs w:val="19"/>
                <w:lang w:val="en-US"/>
              </w:rPr>
            </w:pPr>
            <w:r w:rsidRPr="00D80042">
              <w:rPr>
                <w:rFonts w:cs="Arial"/>
                <w:b/>
                <w:szCs w:val="19"/>
                <w:lang w:val="en-US"/>
              </w:rPr>
              <w:t>Reasoning</w:t>
            </w:r>
          </w:p>
        </w:tc>
        <w:tc>
          <w:tcPr>
            <w:tcW w:w="1990" w:type="dxa"/>
            <w:shd w:val="clear" w:color="auto" w:fill="B8CCE4"/>
          </w:tcPr>
          <w:p w:rsidR="00B4763A" w:rsidRPr="00D80042" w:rsidRDefault="00B4763A" w:rsidP="001D2697">
            <w:pPr>
              <w:rPr>
                <w:rFonts w:cs="Arial"/>
                <w:b/>
                <w:szCs w:val="19"/>
                <w:lang w:val="en-US"/>
              </w:rPr>
            </w:pPr>
            <w:r>
              <w:rPr>
                <w:rFonts w:cs="Arial"/>
                <w:b/>
                <w:szCs w:val="19"/>
                <w:lang w:val="en-US"/>
              </w:rPr>
              <w:t>DIRECT / OMD equivalent</w:t>
            </w:r>
          </w:p>
        </w:tc>
      </w:tr>
      <w:tr w:rsidR="00B4763A" w:rsidRPr="00D45FA4" w:rsidTr="001D2697">
        <w:tc>
          <w:tcPr>
            <w:tcW w:w="2269" w:type="dxa"/>
          </w:tcPr>
          <w:p w:rsidR="00B4763A" w:rsidRPr="00D80042" w:rsidRDefault="00B4763A" w:rsidP="001D2697">
            <w:pPr>
              <w:rPr>
                <w:rFonts w:cs="Arial"/>
                <w:sz w:val="17"/>
                <w:szCs w:val="17"/>
                <w:lang w:val="en-US"/>
              </w:rPr>
            </w:pPr>
            <w:r>
              <w:rPr>
                <w:rFonts w:cs="Arial"/>
                <w:sz w:val="17"/>
                <w:szCs w:val="17"/>
                <w:lang w:val="en-US"/>
              </w:rPr>
              <w:t>Load Date/Time Stamp</w:t>
            </w:r>
          </w:p>
        </w:tc>
        <w:tc>
          <w:tcPr>
            <w:tcW w:w="1275" w:type="dxa"/>
          </w:tcPr>
          <w:p w:rsidR="00B4763A" w:rsidRPr="00D80042" w:rsidRDefault="00B4763A" w:rsidP="001D2697">
            <w:pPr>
              <w:rPr>
                <w:rFonts w:cs="Arial"/>
                <w:sz w:val="17"/>
                <w:szCs w:val="17"/>
                <w:lang w:val="en-US"/>
              </w:rPr>
            </w:pPr>
            <w:r>
              <w:rPr>
                <w:rFonts w:cs="Arial"/>
                <w:sz w:val="17"/>
                <w:szCs w:val="17"/>
                <w:lang w:val="en-US"/>
              </w:rPr>
              <w:t>Required</w:t>
            </w:r>
          </w:p>
        </w:tc>
        <w:tc>
          <w:tcPr>
            <w:tcW w:w="1418" w:type="dxa"/>
          </w:tcPr>
          <w:p w:rsidR="00B4763A" w:rsidRPr="00D80042" w:rsidRDefault="00B4763A" w:rsidP="001D2697">
            <w:pPr>
              <w:rPr>
                <w:rFonts w:cs="Arial"/>
                <w:sz w:val="17"/>
                <w:szCs w:val="17"/>
                <w:lang w:val="en-US"/>
              </w:rPr>
            </w:pPr>
            <w:r>
              <w:rPr>
                <w:rFonts w:cs="Arial"/>
                <w:sz w:val="17"/>
                <w:szCs w:val="17"/>
                <w:lang w:val="en-US"/>
              </w:rPr>
              <w:t xml:space="preserve">High precision date/time – not null </w:t>
            </w:r>
          </w:p>
        </w:tc>
        <w:tc>
          <w:tcPr>
            <w:tcW w:w="3538" w:type="dxa"/>
          </w:tcPr>
          <w:p w:rsidR="00B4763A" w:rsidRPr="00D80042" w:rsidRDefault="00B4763A" w:rsidP="00B4763A">
            <w:pPr>
              <w:rPr>
                <w:rFonts w:cs="Arial"/>
                <w:sz w:val="17"/>
                <w:szCs w:val="17"/>
                <w:lang w:val="en-US"/>
              </w:rPr>
            </w:pPr>
            <w:r>
              <w:rPr>
                <w:rFonts w:cs="Arial"/>
                <w:sz w:val="17"/>
                <w:szCs w:val="17"/>
                <w:lang w:val="en-US"/>
              </w:rPr>
              <w:t>The date/</w:t>
            </w:r>
            <w:r w:rsidRPr="00D80042">
              <w:rPr>
                <w:rFonts w:cs="Arial"/>
                <w:sz w:val="17"/>
                <w:szCs w:val="17"/>
                <w:lang w:val="en-US"/>
              </w:rPr>
              <w:t xml:space="preserve">time that the record has been presented to the Data Warehouse environment. </w:t>
            </w:r>
          </w:p>
        </w:tc>
        <w:tc>
          <w:tcPr>
            <w:tcW w:w="1990" w:type="dxa"/>
          </w:tcPr>
          <w:p w:rsidR="00B4763A" w:rsidRDefault="00B4763A" w:rsidP="001D2697">
            <w:pPr>
              <w:rPr>
                <w:rFonts w:cs="Arial"/>
                <w:sz w:val="17"/>
                <w:szCs w:val="17"/>
                <w:lang w:val="en-US"/>
              </w:rPr>
            </w:pPr>
            <w:r>
              <w:rPr>
                <w:rFonts w:cs="Arial"/>
                <w:sz w:val="17"/>
                <w:szCs w:val="17"/>
                <w:lang w:val="en-US"/>
              </w:rPr>
              <w:t xml:space="preserve">OMD Insert </w:t>
            </w:r>
            <w:proofErr w:type="spellStart"/>
            <w:r>
              <w:rPr>
                <w:rFonts w:cs="Arial"/>
                <w:sz w:val="17"/>
                <w:szCs w:val="17"/>
                <w:lang w:val="en-US"/>
              </w:rPr>
              <w:t>Datetime</w:t>
            </w:r>
            <w:proofErr w:type="spellEnd"/>
          </w:p>
        </w:tc>
      </w:tr>
      <w:tr w:rsidR="00B4763A" w:rsidRPr="00D45FA4" w:rsidTr="001D2697">
        <w:tc>
          <w:tcPr>
            <w:tcW w:w="2269" w:type="dxa"/>
          </w:tcPr>
          <w:p w:rsidR="00B4763A" w:rsidRDefault="00B4763A" w:rsidP="001D2697">
            <w:pPr>
              <w:rPr>
                <w:rFonts w:cs="Arial"/>
                <w:sz w:val="17"/>
                <w:szCs w:val="17"/>
                <w:lang w:val="en-US"/>
              </w:rPr>
            </w:pPr>
            <w:r>
              <w:rPr>
                <w:rFonts w:cs="Arial"/>
                <w:sz w:val="17"/>
                <w:szCs w:val="17"/>
                <w:lang w:val="en-US"/>
              </w:rPr>
              <w:t>Event Date/Time</w:t>
            </w:r>
          </w:p>
        </w:tc>
        <w:tc>
          <w:tcPr>
            <w:tcW w:w="1275" w:type="dxa"/>
          </w:tcPr>
          <w:p w:rsidR="00B4763A" w:rsidRDefault="00B4763A" w:rsidP="001D2697">
            <w:pPr>
              <w:rPr>
                <w:rFonts w:cs="Arial"/>
                <w:sz w:val="17"/>
                <w:szCs w:val="17"/>
                <w:lang w:val="en-US"/>
              </w:rPr>
            </w:pPr>
            <w:r>
              <w:rPr>
                <w:rFonts w:cs="Arial"/>
                <w:sz w:val="17"/>
                <w:szCs w:val="17"/>
                <w:lang w:val="en-US"/>
              </w:rPr>
              <w:t>Required</w:t>
            </w:r>
          </w:p>
        </w:tc>
        <w:tc>
          <w:tcPr>
            <w:tcW w:w="1418" w:type="dxa"/>
          </w:tcPr>
          <w:p w:rsidR="00B4763A" w:rsidRDefault="00B4763A" w:rsidP="001D2697">
            <w:pPr>
              <w:rPr>
                <w:rFonts w:cs="Arial"/>
                <w:sz w:val="17"/>
                <w:szCs w:val="17"/>
                <w:lang w:val="en-US"/>
              </w:rPr>
            </w:pPr>
            <w:r>
              <w:rPr>
                <w:rFonts w:cs="Arial"/>
                <w:sz w:val="17"/>
                <w:szCs w:val="17"/>
                <w:lang w:val="en-US"/>
              </w:rPr>
              <w:t>High precision date/time – not null</w:t>
            </w:r>
          </w:p>
        </w:tc>
        <w:tc>
          <w:tcPr>
            <w:tcW w:w="3538" w:type="dxa"/>
          </w:tcPr>
          <w:p w:rsidR="00B4763A" w:rsidRDefault="00B4763A" w:rsidP="00B4763A">
            <w:pPr>
              <w:rPr>
                <w:rFonts w:cs="Arial"/>
                <w:sz w:val="17"/>
                <w:szCs w:val="17"/>
                <w:lang w:val="en-US"/>
              </w:rPr>
            </w:pPr>
            <w:r>
              <w:rPr>
                <w:rFonts w:cs="Arial"/>
                <w:sz w:val="17"/>
                <w:szCs w:val="17"/>
                <w:lang w:val="en-US"/>
              </w:rPr>
              <w:t xml:space="preserve">The date/time the change occurred in the source system. </w:t>
            </w:r>
          </w:p>
        </w:tc>
        <w:tc>
          <w:tcPr>
            <w:tcW w:w="1990" w:type="dxa"/>
          </w:tcPr>
          <w:p w:rsidR="00B4763A" w:rsidRDefault="00B4763A" w:rsidP="001D2697">
            <w:pPr>
              <w:rPr>
                <w:rFonts w:cs="Arial"/>
                <w:sz w:val="17"/>
                <w:szCs w:val="17"/>
                <w:lang w:val="en-US"/>
              </w:rPr>
            </w:pPr>
            <w:r>
              <w:rPr>
                <w:rFonts w:cs="Arial"/>
                <w:sz w:val="17"/>
                <w:szCs w:val="17"/>
                <w:lang w:val="en-US"/>
              </w:rPr>
              <w:t xml:space="preserve">OMD Event </w:t>
            </w:r>
            <w:proofErr w:type="spellStart"/>
            <w:r>
              <w:rPr>
                <w:rFonts w:cs="Arial"/>
                <w:sz w:val="17"/>
                <w:szCs w:val="17"/>
                <w:lang w:val="en-US"/>
              </w:rPr>
              <w:t>Datetime</w:t>
            </w:r>
            <w:proofErr w:type="spellEnd"/>
          </w:p>
        </w:tc>
      </w:tr>
      <w:tr w:rsidR="00B4763A" w:rsidRPr="00D45FA4" w:rsidTr="001D2697">
        <w:tc>
          <w:tcPr>
            <w:tcW w:w="2269" w:type="dxa"/>
          </w:tcPr>
          <w:p w:rsidR="00B4763A" w:rsidRDefault="00B4763A" w:rsidP="001D2697">
            <w:pPr>
              <w:rPr>
                <w:rFonts w:cs="Arial"/>
                <w:sz w:val="17"/>
                <w:szCs w:val="17"/>
                <w:lang w:val="en-US"/>
              </w:rPr>
            </w:pPr>
            <w:r>
              <w:rPr>
                <w:rFonts w:cs="Arial"/>
                <w:sz w:val="17"/>
                <w:szCs w:val="17"/>
                <w:lang w:val="en-US"/>
              </w:rPr>
              <w:t>Source System ID / Code</w:t>
            </w:r>
          </w:p>
        </w:tc>
        <w:tc>
          <w:tcPr>
            <w:tcW w:w="1275" w:type="dxa"/>
          </w:tcPr>
          <w:p w:rsidR="00B4763A" w:rsidRDefault="00B4763A" w:rsidP="001D2697">
            <w:pPr>
              <w:rPr>
                <w:rFonts w:cs="Arial"/>
                <w:sz w:val="17"/>
                <w:szCs w:val="17"/>
                <w:lang w:val="en-US"/>
              </w:rPr>
            </w:pPr>
            <w:r>
              <w:rPr>
                <w:rFonts w:cs="Arial"/>
                <w:sz w:val="17"/>
                <w:szCs w:val="17"/>
                <w:lang w:val="en-US"/>
              </w:rPr>
              <w:t>Required</w:t>
            </w:r>
          </w:p>
        </w:tc>
        <w:tc>
          <w:tcPr>
            <w:tcW w:w="1418" w:type="dxa"/>
          </w:tcPr>
          <w:p w:rsidR="00B4763A" w:rsidRDefault="00B4763A" w:rsidP="001D2697">
            <w:pPr>
              <w:rPr>
                <w:rFonts w:cs="Arial"/>
                <w:sz w:val="17"/>
                <w:szCs w:val="17"/>
                <w:lang w:val="en-US"/>
              </w:rPr>
            </w:pPr>
            <w:proofErr w:type="spellStart"/>
            <w:r>
              <w:rPr>
                <w:rFonts w:cs="Arial"/>
                <w:sz w:val="17"/>
                <w:szCs w:val="17"/>
                <w:lang w:val="en-US"/>
              </w:rPr>
              <w:t>Varchar</w:t>
            </w:r>
            <w:proofErr w:type="spellEnd"/>
            <w:r>
              <w:rPr>
                <w:rFonts w:cs="Arial"/>
                <w:sz w:val="17"/>
                <w:szCs w:val="17"/>
                <w:lang w:val="en-US"/>
              </w:rPr>
              <w:t>(100) – not null</w:t>
            </w:r>
          </w:p>
        </w:tc>
        <w:tc>
          <w:tcPr>
            <w:tcW w:w="3538" w:type="dxa"/>
          </w:tcPr>
          <w:p w:rsidR="00B4763A" w:rsidRDefault="00B4763A" w:rsidP="001D2697">
            <w:pPr>
              <w:rPr>
                <w:rFonts w:cs="Arial"/>
                <w:sz w:val="17"/>
                <w:szCs w:val="17"/>
                <w:lang w:val="en-US"/>
              </w:rPr>
            </w:pPr>
            <w:r>
              <w:rPr>
                <w:rFonts w:cs="Arial"/>
                <w:sz w:val="17"/>
                <w:szCs w:val="17"/>
                <w:lang w:val="en-US"/>
              </w:rPr>
              <w:t>The code or ID for the</w:t>
            </w:r>
            <w:r w:rsidRPr="00D80042">
              <w:rPr>
                <w:rFonts w:cs="Arial"/>
                <w:sz w:val="17"/>
                <w:szCs w:val="17"/>
                <w:lang w:val="en-US"/>
              </w:rPr>
              <w:t xml:space="preserve"> source system that supplied the </w:t>
            </w:r>
            <w:r>
              <w:rPr>
                <w:rFonts w:cs="Arial"/>
                <w:sz w:val="17"/>
                <w:szCs w:val="17"/>
                <w:lang w:val="en-US"/>
              </w:rPr>
              <w:t>data</w:t>
            </w:r>
            <w:r w:rsidRPr="00D80042">
              <w:rPr>
                <w:rFonts w:cs="Arial"/>
                <w:sz w:val="17"/>
                <w:szCs w:val="17"/>
                <w:lang w:val="en-US"/>
              </w:rPr>
              <w:t>.</w:t>
            </w:r>
          </w:p>
        </w:tc>
        <w:tc>
          <w:tcPr>
            <w:tcW w:w="1990" w:type="dxa"/>
          </w:tcPr>
          <w:p w:rsidR="00B4763A" w:rsidRDefault="00B4763A" w:rsidP="001D2697">
            <w:pPr>
              <w:rPr>
                <w:rFonts w:cs="Arial"/>
                <w:sz w:val="17"/>
                <w:szCs w:val="17"/>
                <w:lang w:val="en-US"/>
              </w:rPr>
            </w:pPr>
            <w:r>
              <w:rPr>
                <w:rFonts w:cs="Arial"/>
                <w:sz w:val="17"/>
                <w:szCs w:val="17"/>
                <w:lang w:val="en-US"/>
              </w:rPr>
              <w:t>OMD Record Source</w:t>
            </w:r>
          </w:p>
        </w:tc>
      </w:tr>
      <w:tr w:rsidR="00B4763A" w:rsidRPr="00D45FA4" w:rsidTr="001D2697">
        <w:tc>
          <w:tcPr>
            <w:tcW w:w="2269" w:type="dxa"/>
          </w:tcPr>
          <w:p w:rsidR="00B4763A" w:rsidRDefault="00B4763A" w:rsidP="001D2697">
            <w:pPr>
              <w:rPr>
                <w:rFonts w:cs="Arial"/>
                <w:sz w:val="17"/>
                <w:szCs w:val="17"/>
                <w:lang w:val="en-US"/>
              </w:rPr>
            </w:pPr>
            <w:r>
              <w:rPr>
                <w:rFonts w:cs="Arial"/>
                <w:sz w:val="17"/>
                <w:szCs w:val="17"/>
                <w:lang w:val="en-US"/>
              </w:rPr>
              <w:t>Source Row ID</w:t>
            </w:r>
          </w:p>
        </w:tc>
        <w:tc>
          <w:tcPr>
            <w:tcW w:w="1275" w:type="dxa"/>
          </w:tcPr>
          <w:p w:rsidR="00B4763A" w:rsidRDefault="00B4763A" w:rsidP="001D2697">
            <w:pPr>
              <w:rPr>
                <w:rFonts w:cs="Arial"/>
                <w:sz w:val="17"/>
                <w:szCs w:val="17"/>
                <w:lang w:val="en-US"/>
              </w:rPr>
            </w:pPr>
            <w:r>
              <w:rPr>
                <w:rFonts w:cs="Arial"/>
                <w:sz w:val="17"/>
                <w:szCs w:val="17"/>
                <w:lang w:val="en-US"/>
              </w:rPr>
              <w:t>Required</w:t>
            </w:r>
          </w:p>
        </w:tc>
        <w:tc>
          <w:tcPr>
            <w:tcW w:w="1418" w:type="dxa"/>
          </w:tcPr>
          <w:p w:rsidR="00B4763A" w:rsidRDefault="00B4763A" w:rsidP="001D2697">
            <w:pPr>
              <w:rPr>
                <w:rFonts w:cs="Arial"/>
                <w:sz w:val="17"/>
                <w:szCs w:val="17"/>
                <w:lang w:val="en-US"/>
              </w:rPr>
            </w:pPr>
            <w:r>
              <w:rPr>
                <w:rFonts w:cs="Arial"/>
                <w:sz w:val="17"/>
                <w:szCs w:val="17"/>
                <w:lang w:val="en-US"/>
              </w:rPr>
              <w:t>Integer – not null</w:t>
            </w:r>
          </w:p>
        </w:tc>
        <w:tc>
          <w:tcPr>
            <w:tcW w:w="3538" w:type="dxa"/>
          </w:tcPr>
          <w:p w:rsidR="00B4763A" w:rsidRDefault="00B4763A" w:rsidP="00B4763A">
            <w:pPr>
              <w:rPr>
                <w:rFonts w:cs="Arial"/>
                <w:sz w:val="17"/>
                <w:szCs w:val="17"/>
                <w:lang w:val="en-US"/>
              </w:rPr>
            </w:pPr>
            <w:r>
              <w:rPr>
                <w:rFonts w:cs="Arial"/>
                <w:sz w:val="17"/>
                <w:szCs w:val="17"/>
                <w:lang w:val="en-US"/>
              </w:rPr>
              <w:t xml:space="preserve">Audit attribute that captures the row order within the data delta as provided by a unique ETL execution. The combination of the unique execution instance and the row ID will always relate back to a single record. Also used to distinguish order if the effective date/time </w:t>
            </w:r>
            <w:proofErr w:type="gramStart"/>
            <w:r>
              <w:rPr>
                <w:rFonts w:cs="Arial"/>
                <w:sz w:val="17"/>
                <w:szCs w:val="17"/>
                <w:lang w:val="en-US"/>
              </w:rPr>
              <w:t>itself</w:t>
            </w:r>
            <w:proofErr w:type="gramEnd"/>
            <w:r>
              <w:rPr>
                <w:rFonts w:cs="Arial"/>
                <w:sz w:val="17"/>
                <w:szCs w:val="17"/>
                <w:lang w:val="en-US"/>
              </w:rPr>
              <w:t xml:space="preserve"> is not unique for a given key (due to fast-changing data). </w:t>
            </w:r>
          </w:p>
        </w:tc>
        <w:tc>
          <w:tcPr>
            <w:tcW w:w="1990" w:type="dxa"/>
          </w:tcPr>
          <w:p w:rsidR="00B4763A" w:rsidRDefault="00B4763A" w:rsidP="001D2697">
            <w:pPr>
              <w:rPr>
                <w:rFonts w:cs="Arial"/>
                <w:sz w:val="17"/>
                <w:szCs w:val="17"/>
                <w:lang w:val="en-US"/>
              </w:rPr>
            </w:pPr>
            <w:r>
              <w:rPr>
                <w:rFonts w:cs="Arial"/>
                <w:sz w:val="17"/>
                <w:szCs w:val="17"/>
                <w:lang w:val="en-US"/>
              </w:rPr>
              <w:t>OMD Source Row ID</w:t>
            </w:r>
          </w:p>
        </w:tc>
      </w:tr>
      <w:tr w:rsidR="00B4763A" w:rsidRPr="00D45FA4" w:rsidTr="001D2697">
        <w:tc>
          <w:tcPr>
            <w:tcW w:w="2269" w:type="dxa"/>
          </w:tcPr>
          <w:p w:rsidR="00B4763A" w:rsidRDefault="00B4763A" w:rsidP="001D2697">
            <w:pPr>
              <w:rPr>
                <w:rFonts w:cs="Arial"/>
                <w:sz w:val="17"/>
                <w:szCs w:val="17"/>
                <w:lang w:val="en-US"/>
              </w:rPr>
            </w:pPr>
            <w:r>
              <w:rPr>
                <w:rFonts w:cs="Arial"/>
                <w:sz w:val="17"/>
                <w:szCs w:val="17"/>
                <w:lang w:val="en-US"/>
              </w:rPr>
              <w:t>CDC Operation</w:t>
            </w:r>
          </w:p>
        </w:tc>
        <w:tc>
          <w:tcPr>
            <w:tcW w:w="1275" w:type="dxa"/>
          </w:tcPr>
          <w:p w:rsidR="00B4763A" w:rsidRDefault="00B4763A" w:rsidP="001D2697">
            <w:pPr>
              <w:rPr>
                <w:rFonts w:cs="Arial"/>
                <w:sz w:val="17"/>
                <w:szCs w:val="17"/>
                <w:lang w:val="en-US"/>
              </w:rPr>
            </w:pPr>
            <w:r>
              <w:rPr>
                <w:rFonts w:cs="Arial"/>
                <w:sz w:val="17"/>
                <w:szCs w:val="17"/>
                <w:lang w:val="en-US"/>
              </w:rPr>
              <w:t>Required</w:t>
            </w:r>
          </w:p>
        </w:tc>
        <w:tc>
          <w:tcPr>
            <w:tcW w:w="1418" w:type="dxa"/>
          </w:tcPr>
          <w:p w:rsidR="00B4763A" w:rsidRDefault="00B4763A" w:rsidP="001D2697">
            <w:pPr>
              <w:rPr>
                <w:rFonts w:cs="Arial"/>
                <w:sz w:val="17"/>
                <w:szCs w:val="17"/>
                <w:lang w:val="en-US"/>
              </w:rPr>
            </w:pPr>
            <w:proofErr w:type="spellStart"/>
            <w:r>
              <w:rPr>
                <w:rFonts w:cs="Arial"/>
                <w:sz w:val="17"/>
                <w:szCs w:val="17"/>
                <w:lang w:val="en-US"/>
              </w:rPr>
              <w:t>Varchar</w:t>
            </w:r>
            <w:proofErr w:type="spellEnd"/>
            <w:r>
              <w:rPr>
                <w:rFonts w:cs="Arial"/>
                <w:sz w:val="17"/>
                <w:szCs w:val="17"/>
                <w:lang w:val="en-US"/>
              </w:rPr>
              <w:t>(100) – not null</w:t>
            </w:r>
          </w:p>
        </w:tc>
        <w:tc>
          <w:tcPr>
            <w:tcW w:w="3538" w:type="dxa"/>
          </w:tcPr>
          <w:p w:rsidR="00B4763A" w:rsidRDefault="00B4763A" w:rsidP="00B4763A">
            <w:pPr>
              <w:rPr>
                <w:rFonts w:cs="Arial"/>
                <w:sz w:val="17"/>
                <w:szCs w:val="17"/>
                <w:lang w:val="en-US"/>
              </w:rPr>
            </w:pPr>
            <w:r>
              <w:rPr>
                <w:rFonts w:cs="Arial"/>
                <w:sz w:val="17"/>
                <w:szCs w:val="17"/>
                <w:lang w:val="en-US"/>
              </w:rPr>
              <w:t xml:space="preserve">Information derived or received by the ETL process to derive logical deletes. </w:t>
            </w:r>
          </w:p>
        </w:tc>
        <w:tc>
          <w:tcPr>
            <w:tcW w:w="1990" w:type="dxa"/>
          </w:tcPr>
          <w:p w:rsidR="00B4763A" w:rsidRDefault="00B4763A" w:rsidP="001D2697">
            <w:pPr>
              <w:rPr>
                <w:rFonts w:cs="Arial"/>
                <w:sz w:val="17"/>
                <w:szCs w:val="17"/>
                <w:lang w:val="en-US"/>
              </w:rPr>
            </w:pPr>
            <w:r>
              <w:rPr>
                <w:rFonts w:cs="Arial"/>
                <w:sz w:val="17"/>
                <w:szCs w:val="17"/>
                <w:lang w:val="en-US"/>
              </w:rPr>
              <w:t>OMD CDC Operation</w:t>
            </w:r>
          </w:p>
        </w:tc>
      </w:tr>
      <w:tr w:rsidR="00B4763A" w:rsidRPr="00D45FA4" w:rsidTr="001D2697">
        <w:tc>
          <w:tcPr>
            <w:tcW w:w="2269" w:type="dxa"/>
          </w:tcPr>
          <w:p w:rsidR="00B4763A" w:rsidRDefault="00B4763A" w:rsidP="001D2697">
            <w:pPr>
              <w:rPr>
                <w:rFonts w:cs="Arial"/>
                <w:sz w:val="17"/>
                <w:szCs w:val="17"/>
                <w:lang w:val="en-US"/>
              </w:rPr>
            </w:pPr>
            <w:r>
              <w:rPr>
                <w:rFonts w:cs="Arial"/>
                <w:sz w:val="17"/>
                <w:szCs w:val="17"/>
                <w:lang w:val="en-US"/>
              </w:rPr>
              <w:t>Full row hash</w:t>
            </w:r>
          </w:p>
        </w:tc>
        <w:tc>
          <w:tcPr>
            <w:tcW w:w="1275" w:type="dxa"/>
          </w:tcPr>
          <w:p w:rsidR="00B4763A" w:rsidRDefault="00B4763A" w:rsidP="001D2697">
            <w:pPr>
              <w:rPr>
                <w:rFonts w:cs="Arial"/>
                <w:sz w:val="17"/>
                <w:szCs w:val="17"/>
                <w:lang w:val="en-US"/>
              </w:rPr>
            </w:pPr>
            <w:r>
              <w:rPr>
                <w:rFonts w:cs="Arial"/>
                <w:sz w:val="17"/>
                <w:szCs w:val="17"/>
                <w:lang w:val="en-US"/>
              </w:rPr>
              <w:t>Optional</w:t>
            </w:r>
          </w:p>
        </w:tc>
        <w:tc>
          <w:tcPr>
            <w:tcW w:w="1418" w:type="dxa"/>
          </w:tcPr>
          <w:p w:rsidR="00B4763A" w:rsidRDefault="00B4763A" w:rsidP="001D2697">
            <w:pPr>
              <w:rPr>
                <w:rFonts w:cs="Arial"/>
                <w:sz w:val="17"/>
                <w:szCs w:val="17"/>
                <w:lang w:val="en-US"/>
              </w:rPr>
            </w:pPr>
            <w:r>
              <w:rPr>
                <w:rFonts w:cs="Arial"/>
                <w:sz w:val="17"/>
                <w:szCs w:val="17"/>
                <w:lang w:val="en-US"/>
              </w:rPr>
              <w:t>Character(32), when using MD5 – not null</w:t>
            </w:r>
          </w:p>
        </w:tc>
        <w:tc>
          <w:tcPr>
            <w:tcW w:w="3538" w:type="dxa"/>
          </w:tcPr>
          <w:p w:rsidR="00B4763A" w:rsidRDefault="00B4763A" w:rsidP="00B4763A">
            <w:pPr>
              <w:rPr>
                <w:rFonts w:cs="Arial"/>
                <w:sz w:val="17"/>
                <w:szCs w:val="17"/>
                <w:lang w:val="en-US"/>
              </w:rPr>
            </w:pPr>
            <w:r w:rsidRPr="00565878">
              <w:rPr>
                <w:rFonts w:cs="Arial"/>
                <w:sz w:val="17"/>
                <w:szCs w:val="17"/>
                <w:lang w:val="en-US"/>
              </w:rPr>
              <w:t>Using a checksum for record comparison requires storing a checksum value as an attribute.</w:t>
            </w:r>
            <w:r>
              <w:rPr>
                <w:rFonts w:cs="Arial"/>
                <w:sz w:val="17"/>
                <w:szCs w:val="17"/>
                <w:lang w:val="en-US"/>
              </w:rPr>
              <w:t xml:space="preserve"> Can be made optional if column-by-column comparison is implemented instead. </w:t>
            </w:r>
          </w:p>
        </w:tc>
        <w:tc>
          <w:tcPr>
            <w:tcW w:w="1990" w:type="dxa"/>
          </w:tcPr>
          <w:p w:rsidR="00B4763A" w:rsidRDefault="00B4763A" w:rsidP="001D2697">
            <w:pPr>
              <w:rPr>
                <w:rFonts w:cs="Arial"/>
                <w:sz w:val="17"/>
                <w:szCs w:val="17"/>
                <w:lang w:val="en-US"/>
              </w:rPr>
            </w:pPr>
            <w:r>
              <w:rPr>
                <w:rFonts w:cs="Arial"/>
                <w:sz w:val="17"/>
                <w:szCs w:val="17"/>
                <w:lang w:val="en-US"/>
              </w:rPr>
              <w:t>OMD Hash Full Record</w:t>
            </w:r>
          </w:p>
        </w:tc>
      </w:tr>
      <w:tr w:rsidR="00B4763A" w:rsidRPr="00D45FA4" w:rsidTr="001D2697">
        <w:tc>
          <w:tcPr>
            <w:tcW w:w="2269" w:type="dxa"/>
          </w:tcPr>
          <w:p w:rsidR="00B4763A" w:rsidRDefault="00B4763A" w:rsidP="001D2697">
            <w:pPr>
              <w:rPr>
                <w:rFonts w:cs="Arial"/>
                <w:sz w:val="17"/>
                <w:szCs w:val="17"/>
                <w:lang w:val="en-US"/>
              </w:rPr>
            </w:pPr>
            <w:r>
              <w:rPr>
                <w:rFonts w:cs="Arial"/>
                <w:sz w:val="17"/>
                <w:szCs w:val="17"/>
                <w:lang w:val="en-US"/>
              </w:rPr>
              <w:t>ETL Process Execution ID</w:t>
            </w:r>
          </w:p>
        </w:tc>
        <w:tc>
          <w:tcPr>
            <w:tcW w:w="1275" w:type="dxa"/>
          </w:tcPr>
          <w:p w:rsidR="00B4763A" w:rsidRDefault="00B4763A" w:rsidP="001D2697">
            <w:pPr>
              <w:rPr>
                <w:rFonts w:cs="Arial"/>
                <w:sz w:val="17"/>
                <w:szCs w:val="17"/>
                <w:lang w:val="en-US"/>
              </w:rPr>
            </w:pPr>
            <w:r>
              <w:rPr>
                <w:rFonts w:cs="Arial"/>
                <w:sz w:val="17"/>
                <w:szCs w:val="17"/>
                <w:lang w:val="en-US"/>
              </w:rPr>
              <w:t>Required</w:t>
            </w:r>
          </w:p>
        </w:tc>
        <w:tc>
          <w:tcPr>
            <w:tcW w:w="1418" w:type="dxa"/>
          </w:tcPr>
          <w:p w:rsidR="00B4763A" w:rsidRDefault="00B4763A" w:rsidP="001D2697">
            <w:pPr>
              <w:rPr>
                <w:rFonts w:cs="Arial"/>
                <w:sz w:val="17"/>
                <w:szCs w:val="17"/>
                <w:lang w:val="en-US"/>
              </w:rPr>
            </w:pPr>
            <w:r>
              <w:rPr>
                <w:rFonts w:cs="Arial"/>
                <w:sz w:val="17"/>
                <w:szCs w:val="17"/>
                <w:lang w:val="en-US"/>
              </w:rPr>
              <w:t>Integer – not null</w:t>
            </w:r>
          </w:p>
        </w:tc>
        <w:tc>
          <w:tcPr>
            <w:tcW w:w="3538" w:type="dxa"/>
          </w:tcPr>
          <w:p w:rsidR="00B4763A" w:rsidRPr="00565878" w:rsidRDefault="00B4763A" w:rsidP="001D2697">
            <w:pPr>
              <w:rPr>
                <w:rFonts w:cs="Arial"/>
                <w:sz w:val="17"/>
                <w:szCs w:val="17"/>
                <w:lang w:val="en-US"/>
              </w:rPr>
            </w:pPr>
            <w:r>
              <w:rPr>
                <w:rFonts w:cs="Arial"/>
                <w:sz w:val="17"/>
                <w:szCs w:val="17"/>
                <w:lang w:val="en-US"/>
              </w:rPr>
              <w:t>L</w:t>
            </w:r>
            <w:r w:rsidRPr="00D80042">
              <w:rPr>
                <w:rFonts w:cs="Arial"/>
                <w:sz w:val="17"/>
                <w:szCs w:val="17"/>
                <w:lang w:val="en-US"/>
              </w:rPr>
              <w:t>ogging which</w:t>
            </w:r>
            <w:r>
              <w:rPr>
                <w:rFonts w:cs="Arial"/>
                <w:sz w:val="17"/>
                <w:szCs w:val="17"/>
                <w:lang w:val="en-US"/>
              </w:rPr>
              <w:t xml:space="preserve"> unique ETL</w:t>
            </w:r>
            <w:r w:rsidRPr="00D80042">
              <w:rPr>
                <w:rFonts w:cs="Arial"/>
                <w:sz w:val="17"/>
                <w:szCs w:val="17"/>
                <w:lang w:val="en-US"/>
              </w:rPr>
              <w:t xml:space="preserve"> process has inserted the record</w:t>
            </w:r>
            <w:r>
              <w:rPr>
                <w:rFonts w:cs="Arial"/>
                <w:sz w:val="17"/>
                <w:szCs w:val="17"/>
                <w:lang w:val="en-US"/>
              </w:rPr>
              <w:t>.</w:t>
            </w:r>
          </w:p>
        </w:tc>
        <w:tc>
          <w:tcPr>
            <w:tcW w:w="1990" w:type="dxa"/>
          </w:tcPr>
          <w:p w:rsidR="00B4763A" w:rsidRDefault="00B4763A" w:rsidP="001D2697">
            <w:pPr>
              <w:rPr>
                <w:rFonts w:cs="Arial"/>
                <w:sz w:val="17"/>
                <w:szCs w:val="17"/>
                <w:lang w:val="en-US"/>
              </w:rPr>
            </w:pPr>
            <w:r>
              <w:rPr>
                <w:rFonts w:cs="Arial"/>
                <w:sz w:val="17"/>
                <w:szCs w:val="17"/>
                <w:lang w:val="en-US"/>
              </w:rPr>
              <w:t>OMD Insert Module Instance ID</w:t>
            </w:r>
          </w:p>
        </w:tc>
      </w:tr>
      <w:tr w:rsidR="00B4763A" w:rsidRPr="00D45FA4" w:rsidTr="001D2697">
        <w:tc>
          <w:tcPr>
            <w:tcW w:w="2269" w:type="dxa"/>
          </w:tcPr>
          <w:p w:rsidR="00B4763A" w:rsidRDefault="00B4763A" w:rsidP="001D2697">
            <w:pPr>
              <w:rPr>
                <w:rFonts w:cs="Arial"/>
                <w:sz w:val="17"/>
                <w:szCs w:val="17"/>
                <w:lang w:val="en-US"/>
              </w:rPr>
            </w:pPr>
            <w:r>
              <w:rPr>
                <w:rFonts w:cs="Arial"/>
                <w:sz w:val="17"/>
                <w:szCs w:val="17"/>
                <w:lang w:val="en-US"/>
              </w:rPr>
              <w:t>Upstream Hash Values</w:t>
            </w:r>
          </w:p>
        </w:tc>
        <w:tc>
          <w:tcPr>
            <w:tcW w:w="1275" w:type="dxa"/>
          </w:tcPr>
          <w:p w:rsidR="00B4763A" w:rsidRDefault="00B4763A" w:rsidP="001D2697">
            <w:pPr>
              <w:rPr>
                <w:rFonts w:cs="Arial"/>
                <w:sz w:val="17"/>
                <w:szCs w:val="17"/>
                <w:lang w:val="en-US"/>
              </w:rPr>
            </w:pPr>
            <w:r>
              <w:rPr>
                <w:rFonts w:cs="Arial"/>
                <w:sz w:val="17"/>
                <w:szCs w:val="17"/>
                <w:lang w:val="en-US"/>
              </w:rPr>
              <w:t>Optional</w:t>
            </w:r>
          </w:p>
        </w:tc>
        <w:tc>
          <w:tcPr>
            <w:tcW w:w="1418" w:type="dxa"/>
          </w:tcPr>
          <w:p w:rsidR="00B4763A" w:rsidRDefault="00B4763A" w:rsidP="001D2697">
            <w:pPr>
              <w:rPr>
                <w:rFonts w:cs="Arial"/>
                <w:sz w:val="17"/>
                <w:szCs w:val="17"/>
                <w:lang w:val="en-US"/>
              </w:rPr>
            </w:pPr>
            <w:r>
              <w:rPr>
                <w:rFonts w:cs="Arial"/>
                <w:sz w:val="17"/>
                <w:szCs w:val="17"/>
                <w:lang w:val="en-US"/>
              </w:rPr>
              <w:t>Character(32), when using MD5 – not null</w:t>
            </w:r>
          </w:p>
        </w:tc>
        <w:tc>
          <w:tcPr>
            <w:tcW w:w="3538" w:type="dxa"/>
          </w:tcPr>
          <w:p w:rsidR="00B4763A" w:rsidRDefault="00B4763A" w:rsidP="001D2697">
            <w:pPr>
              <w:rPr>
                <w:rFonts w:cs="Arial"/>
                <w:sz w:val="17"/>
                <w:szCs w:val="17"/>
                <w:lang w:val="en-US"/>
              </w:rPr>
            </w:pPr>
            <w:r>
              <w:rPr>
                <w:rFonts w:cs="Arial"/>
                <w:sz w:val="17"/>
                <w:szCs w:val="17"/>
                <w:lang w:val="en-US"/>
              </w:rPr>
              <w:t>Any pre-calculated hash values one may like to add to optimize upstream parallel loading (i.e. pre-hashing business keys),</w:t>
            </w:r>
          </w:p>
        </w:tc>
        <w:tc>
          <w:tcPr>
            <w:tcW w:w="1990" w:type="dxa"/>
          </w:tcPr>
          <w:p w:rsidR="00B4763A" w:rsidRDefault="00B4763A" w:rsidP="001D2697">
            <w:pPr>
              <w:rPr>
                <w:rFonts w:cs="Arial"/>
                <w:sz w:val="17"/>
                <w:szCs w:val="17"/>
                <w:lang w:val="en-US"/>
              </w:rPr>
            </w:pPr>
            <w:r>
              <w:rPr>
                <w:rFonts w:cs="Arial"/>
                <w:sz w:val="17"/>
                <w:szCs w:val="17"/>
                <w:lang w:val="en-US"/>
              </w:rPr>
              <w:t>OMD Hash &lt;&gt;</w:t>
            </w:r>
          </w:p>
        </w:tc>
      </w:tr>
      <w:tr w:rsidR="00B4763A" w:rsidRPr="00D45FA4" w:rsidTr="001D2697">
        <w:tc>
          <w:tcPr>
            <w:tcW w:w="2269" w:type="dxa"/>
          </w:tcPr>
          <w:p w:rsidR="00B4763A" w:rsidRDefault="00B4763A" w:rsidP="001D2697">
            <w:pPr>
              <w:rPr>
                <w:rFonts w:cs="Arial"/>
                <w:sz w:val="17"/>
                <w:szCs w:val="17"/>
                <w:lang w:val="en-US"/>
              </w:rPr>
            </w:pPr>
            <w:r>
              <w:rPr>
                <w:rFonts w:cs="Arial"/>
                <w:sz w:val="17"/>
                <w:szCs w:val="17"/>
                <w:lang w:val="en-US"/>
              </w:rPr>
              <w:t>&lt;source attributes&gt;</w:t>
            </w:r>
          </w:p>
        </w:tc>
        <w:tc>
          <w:tcPr>
            <w:tcW w:w="1275" w:type="dxa"/>
          </w:tcPr>
          <w:p w:rsidR="00B4763A" w:rsidRDefault="00B4763A" w:rsidP="001D2697">
            <w:pPr>
              <w:rPr>
                <w:rFonts w:cs="Arial"/>
                <w:sz w:val="17"/>
                <w:szCs w:val="17"/>
                <w:lang w:val="en-US"/>
              </w:rPr>
            </w:pPr>
            <w:r>
              <w:rPr>
                <w:rFonts w:cs="Arial"/>
                <w:sz w:val="17"/>
                <w:szCs w:val="17"/>
                <w:lang w:val="en-US"/>
              </w:rPr>
              <w:t>Required</w:t>
            </w:r>
          </w:p>
        </w:tc>
        <w:tc>
          <w:tcPr>
            <w:tcW w:w="1418" w:type="dxa"/>
          </w:tcPr>
          <w:p w:rsidR="00B4763A" w:rsidRDefault="00B4763A" w:rsidP="001D2697">
            <w:pPr>
              <w:rPr>
                <w:rFonts w:cs="Arial"/>
                <w:sz w:val="17"/>
                <w:szCs w:val="17"/>
                <w:lang w:val="en-US"/>
              </w:rPr>
            </w:pPr>
            <w:r>
              <w:rPr>
                <w:rFonts w:cs="Arial"/>
                <w:sz w:val="17"/>
                <w:szCs w:val="17"/>
                <w:lang w:val="en-US"/>
              </w:rPr>
              <w:t xml:space="preserve">According to data type  conversion table - </w:t>
            </w:r>
            <w:proofErr w:type="spellStart"/>
            <w:r>
              <w:rPr>
                <w:rFonts w:cs="Arial"/>
                <w:sz w:val="17"/>
                <w:szCs w:val="17"/>
                <w:lang w:val="en-US"/>
              </w:rPr>
              <w:t>nullable</w:t>
            </w:r>
            <w:proofErr w:type="spellEnd"/>
          </w:p>
        </w:tc>
        <w:tc>
          <w:tcPr>
            <w:tcW w:w="3538" w:type="dxa"/>
          </w:tcPr>
          <w:p w:rsidR="00B4763A" w:rsidRDefault="00B4763A" w:rsidP="001D2697">
            <w:pPr>
              <w:rPr>
                <w:rFonts w:cs="Arial"/>
                <w:sz w:val="17"/>
                <w:szCs w:val="17"/>
                <w:lang w:val="en-US"/>
              </w:rPr>
            </w:pPr>
            <w:r>
              <w:rPr>
                <w:rFonts w:cs="Arial"/>
                <w:sz w:val="17"/>
                <w:szCs w:val="17"/>
                <w:lang w:val="en-US"/>
              </w:rPr>
              <w:t xml:space="preserve">The source attributes as available. Note that if a primary hash key is not used the natural key (source primary key) needs to be set to NOT NULL. All other attributes are </w:t>
            </w:r>
            <w:proofErr w:type="spellStart"/>
            <w:r>
              <w:rPr>
                <w:rFonts w:cs="Arial"/>
                <w:sz w:val="17"/>
                <w:szCs w:val="17"/>
                <w:lang w:val="en-US"/>
              </w:rPr>
              <w:t>nullable</w:t>
            </w:r>
            <w:proofErr w:type="spellEnd"/>
            <w:r>
              <w:rPr>
                <w:rFonts w:cs="Arial"/>
                <w:sz w:val="17"/>
                <w:szCs w:val="17"/>
                <w:lang w:val="en-US"/>
              </w:rPr>
              <w:t>.</w:t>
            </w:r>
          </w:p>
        </w:tc>
        <w:tc>
          <w:tcPr>
            <w:tcW w:w="1990" w:type="dxa"/>
          </w:tcPr>
          <w:p w:rsidR="00B4763A" w:rsidRDefault="00B4763A" w:rsidP="001D2697">
            <w:pPr>
              <w:rPr>
                <w:rFonts w:cs="Arial"/>
                <w:sz w:val="17"/>
                <w:szCs w:val="17"/>
                <w:lang w:val="en-US"/>
              </w:rPr>
            </w:pPr>
            <w:r>
              <w:rPr>
                <w:rFonts w:cs="Arial"/>
                <w:sz w:val="17"/>
                <w:szCs w:val="17"/>
                <w:lang w:val="en-US"/>
              </w:rPr>
              <w:t>N/A</w:t>
            </w:r>
          </w:p>
        </w:tc>
      </w:tr>
    </w:tbl>
    <w:p w:rsidR="004F2067" w:rsidRDefault="004F2067" w:rsidP="004F2067">
      <w:pPr>
        <w:pStyle w:val="NoHeading2"/>
      </w:pPr>
      <w:bookmarkStart w:id="24" w:name="_Toc383657299"/>
      <w:bookmarkStart w:id="25" w:name="_Toc502672593"/>
      <w:r>
        <w:t>Staging Area development guidelines</w:t>
      </w:r>
      <w:bookmarkEnd w:id="24"/>
      <w:bookmarkEnd w:id="25"/>
    </w:p>
    <w:p w:rsidR="004F2067" w:rsidRPr="00565878" w:rsidRDefault="004F2067" w:rsidP="004F2067">
      <w:pPr>
        <w:jc w:val="both"/>
        <w:rPr>
          <w:lang w:val="en-GB"/>
        </w:rPr>
      </w:pPr>
      <w:r w:rsidRPr="00565878">
        <w:rPr>
          <w:lang w:val="en-GB"/>
        </w:rPr>
        <w:t>The following is a list of conventions for the Staging Area:</w:t>
      </w:r>
    </w:p>
    <w:p w:rsidR="004F2067" w:rsidRPr="00565878" w:rsidRDefault="004F2067" w:rsidP="00565878">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When loading data from the source, always load the lowest level (grain) of data available. If a summary is required and even available as a source, load the detail data anyway</w:t>
      </w:r>
      <w:r w:rsidR="00B4763A">
        <w:rPr>
          <w:rFonts w:ascii="Arial" w:hAnsi="Arial" w:cs="Arial"/>
          <w:sz w:val="19"/>
          <w:szCs w:val="19"/>
        </w:rPr>
        <w:t>.</w:t>
      </w:r>
    </w:p>
    <w:p w:rsidR="004F2067" w:rsidRPr="00565878" w:rsidRDefault="004F2067" w:rsidP="00565878">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If the ETL platform allows it, prefix the ‘area’, ‘folder’ or ‘namespace’ in the ETL platform with ‘100_’ because this is the first Layer in the architecture. Source definition folders, if applicable, are labelled ‘000_’. This forces most ETL tools to sort the folders in the way the architecture handles the data</w:t>
      </w:r>
      <w:r w:rsidR="00B4763A">
        <w:rPr>
          <w:rFonts w:ascii="Arial" w:hAnsi="Arial" w:cs="Arial"/>
          <w:sz w:val="19"/>
          <w:szCs w:val="19"/>
        </w:rPr>
        <w:t>.</w:t>
      </w:r>
    </w:p>
    <w:p w:rsidR="004F2067" w:rsidRPr="00565878" w:rsidRDefault="004F2067" w:rsidP="00565878">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Source to Staging Area ETL processes use the truncate/insert load strategy</w:t>
      </w:r>
      <w:r w:rsidR="00B4763A">
        <w:rPr>
          <w:rFonts w:ascii="Arial" w:hAnsi="Arial" w:cs="Arial"/>
          <w:sz w:val="19"/>
          <w:szCs w:val="19"/>
        </w:rPr>
        <w:t>. When delta detection is handled by the DWH (i.e. using a Full Outer Join) a Landing Area table can be incorporated.</w:t>
      </w:r>
    </w:p>
    <w:p w:rsidR="004F2067" w:rsidRPr="00565878" w:rsidRDefault="004F2067" w:rsidP="00565878">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 xml:space="preserve">Everything is copied as-is, no transformations are done other than formatting data types. </w:t>
      </w:r>
      <w:r w:rsidR="00B4763A">
        <w:rPr>
          <w:rFonts w:ascii="Arial" w:hAnsi="Arial" w:cs="Arial"/>
          <w:sz w:val="19"/>
          <w:szCs w:val="19"/>
        </w:rPr>
        <w:t>The Staging Area processing</w:t>
      </w:r>
      <w:r w:rsidRPr="00565878">
        <w:rPr>
          <w:rFonts w:ascii="Arial" w:hAnsi="Arial" w:cs="Arial"/>
          <w:sz w:val="19"/>
          <w:szCs w:val="19"/>
        </w:rPr>
        <w:t xml:space="preserve"> may never lead to errors!</w:t>
      </w:r>
    </w:p>
    <w:p w:rsidR="00A64BCE" w:rsidRDefault="00A64BCE" w:rsidP="00A64BCE">
      <w:pPr>
        <w:spacing w:before="120" w:after="120"/>
        <w:ind w:left="69"/>
        <w:jc w:val="both"/>
        <w:rPr>
          <w:rFonts w:cs="Arial"/>
          <w:szCs w:val="19"/>
        </w:rPr>
      </w:pPr>
    </w:p>
    <w:p w:rsidR="00A64BCE" w:rsidRDefault="00A64BCE">
      <w:pPr>
        <w:rPr>
          <w:rFonts w:cs="Arial"/>
          <w:szCs w:val="19"/>
        </w:rPr>
      </w:pPr>
      <w:r>
        <w:rPr>
          <w:rFonts w:cs="Arial"/>
          <w:szCs w:val="19"/>
        </w:rPr>
        <w:br w:type="page"/>
      </w:r>
    </w:p>
    <w:p w:rsidR="004F2067" w:rsidRPr="005E16E5" w:rsidRDefault="004F2067" w:rsidP="004F2067">
      <w:pPr>
        <w:pStyle w:val="NoHeading1"/>
      </w:pPr>
      <w:bookmarkStart w:id="26" w:name="_Toc383657300"/>
      <w:bookmarkStart w:id="27" w:name="_Toc502672594"/>
      <w:r>
        <w:lastRenderedPageBreak/>
        <w:t>T</w:t>
      </w:r>
      <w:r w:rsidRPr="005E16E5">
        <w:t xml:space="preserve">he </w:t>
      </w:r>
      <w:bookmarkEnd w:id="26"/>
      <w:r w:rsidR="00460A65">
        <w:t>Persistent Staging</w:t>
      </w:r>
      <w:bookmarkEnd w:id="27"/>
    </w:p>
    <w:p w:rsidR="004F2067" w:rsidRDefault="004F2067" w:rsidP="004F2067">
      <w:pPr>
        <w:jc w:val="both"/>
        <w:rPr>
          <w:lang w:val="en-GB"/>
        </w:rPr>
      </w:pPr>
      <w:r w:rsidRPr="00565878">
        <w:rPr>
          <w:lang w:val="en-GB"/>
        </w:rPr>
        <w:t xml:space="preserve">The structure of the </w:t>
      </w:r>
      <w:r w:rsidR="00460A65">
        <w:rPr>
          <w:lang w:val="en-GB"/>
        </w:rPr>
        <w:t>PSA</w:t>
      </w:r>
      <w:r w:rsidRPr="00565878">
        <w:rPr>
          <w:lang w:val="en-GB"/>
        </w:rPr>
        <w:t xml:space="preserve"> is the same as the Staging Area (including the metadata attributes). The following attributes are mandatory for the </w:t>
      </w:r>
      <w:r w:rsidR="00460A65">
        <w:rPr>
          <w:lang w:val="en-GB"/>
        </w:rPr>
        <w:t>PSA</w:t>
      </w:r>
      <w:r w:rsidRPr="00565878">
        <w:rPr>
          <w:lang w:val="en-GB"/>
        </w:rPr>
        <w:t xml:space="preserve"> tables:</w:t>
      </w:r>
    </w:p>
    <w:p w:rsidR="00D80042" w:rsidRPr="00565878" w:rsidRDefault="00D80042" w:rsidP="004F2067">
      <w:pPr>
        <w:jc w:val="both"/>
        <w:rPr>
          <w:lang w:val="en-GB"/>
        </w:rPr>
      </w:pP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275"/>
        <w:gridCol w:w="1418"/>
        <w:gridCol w:w="3538"/>
        <w:gridCol w:w="1990"/>
      </w:tblGrid>
      <w:tr w:rsidR="00460A65" w:rsidRPr="00D45FA4" w:rsidTr="007A7205">
        <w:tc>
          <w:tcPr>
            <w:tcW w:w="2269" w:type="dxa"/>
            <w:shd w:val="clear" w:color="auto" w:fill="B8CCE4"/>
          </w:tcPr>
          <w:p w:rsidR="00460A65" w:rsidRPr="00D80042" w:rsidRDefault="00460A65" w:rsidP="004F2067">
            <w:pPr>
              <w:rPr>
                <w:rFonts w:cs="Arial"/>
                <w:b/>
                <w:szCs w:val="19"/>
                <w:lang w:val="en-US"/>
              </w:rPr>
            </w:pPr>
            <w:r w:rsidRPr="00D80042">
              <w:rPr>
                <w:rFonts w:cs="Arial"/>
                <w:b/>
                <w:szCs w:val="19"/>
                <w:lang w:val="en-US"/>
              </w:rPr>
              <w:t>Column Name</w:t>
            </w:r>
          </w:p>
        </w:tc>
        <w:tc>
          <w:tcPr>
            <w:tcW w:w="1275" w:type="dxa"/>
            <w:shd w:val="clear" w:color="auto" w:fill="B8CCE4"/>
          </w:tcPr>
          <w:p w:rsidR="00460A65" w:rsidRPr="00D80042" w:rsidRDefault="007A7205" w:rsidP="004F2067">
            <w:pPr>
              <w:rPr>
                <w:rFonts w:cs="Arial"/>
                <w:b/>
                <w:szCs w:val="19"/>
                <w:lang w:val="en-US"/>
              </w:rPr>
            </w:pPr>
            <w:r>
              <w:rPr>
                <w:rFonts w:cs="Arial"/>
                <w:b/>
                <w:szCs w:val="19"/>
                <w:lang w:val="en-US"/>
              </w:rPr>
              <w:t xml:space="preserve">Required </w:t>
            </w:r>
            <w:r w:rsidR="00460A65">
              <w:rPr>
                <w:rFonts w:cs="Arial"/>
                <w:b/>
                <w:szCs w:val="19"/>
                <w:lang w:val="en-US"/>
              </w:rPr>
              <w:t>/</w:t>
            </w:r>
            <w:r>
              <w:rPr>
                <w:rFonts w:cs="Arial"/>
                <w:b/>
                <w:szCs w:val="19"/>
                <w:lang w:val="en-US"/>
              </w:rPr>
              <w:t xml:space="preserve"> </w:t>
            </w:r>
            <w:r w:rsidR="00460A65">
              <w:rPr>
                <w:rFonts w:cs="Arial"/>
                <w:b/>
                <w:szCs w:val="19"/>
                <w:lang w:val="en-US"/>
              </w:rPr>
              <w:t>Optional</w:t>
            </w:r>
          </w:p>
        </w:tc>
        <w:tc>
          <w:tcPr>
            <w:tcW w:w="1418" w:type="dxa"/>
            <w:shd w:val="clear" w:color="auto" w:fill="B8CCE4"/>
          </w:tcPr>
          <w:p w:rsidR="00460A65" w:rsidRPr="00D80042" w:rsidRDefault="00460A65" w:rsidP="004F2067">
            <w:pPr>
              <w:rPr>
                <w:rFonts w:cs="Arial"/>
                <w:b/>
                <w:szCs w:val="19"/>
                <w:lang w:val="en-US"/>
              </w:rPr>
            </w:pPr>
            <w:r w:rsidRPr="00D80042">
              <w:rPr>
                <w:rFonts w:cs="Arial"/>
                <w:b/>
                <w:szCs w:val="19"/>
                <w:lang w:val="en-US"/>
              </w:rPr>
              <w:t>Data Type</w:t>
            </w:r>
            <w:r w:rsidR="007A7205">
              <w:rPr>
                <w:rFonts w:cs="Arial"/>
                <w:b/>
                <w:szCs w:val="19"/>
                <w:lang w:val="en-US"/>
              </w:rPr>
              <w:t xml:space="preserve"> / constraint</w:t>
            </w:r>
          </w:p>
        </w:tc>
        <w:tc>
          <w:tcPr>
            <w:tcW w:w="3538" w:type="dxa"/>
            <w:shd w:val="clear" w:color="auto" w:fill="B8CCE4"/>
          </w:tcPr>
          <w:p w:rsidR="00460A65" w:rsidRPr="00D80042" w:rsidRDefault="00460A65" w:rsidP="004F2067">
            <w:pPr>
              <w:rPr>
                <w:rFonts w:cs="Arial"/>
                <w:b/>
                <w:szCs w:val="19"/>
                <w:lang w:val="en-US"/>
              </w:rPr>
            </w:pPr>
            <w:r w:rsidRPr="00D80042">
              <w:rPr>
                <w:rFonts w:cs="Arial"/>
                <w:b/>
                <w:szCs w:val="19"/>
                <w:lang w:val="en-US"/>
              </w:rPr>
              <w:t>Reasoning</w:t>
            </w:r>
          </w:p>
        </w:tc>
        <w:tc>
          <w:tcPr>
            <w:tcW w:w="1990" w:type="dxa"/>
            <w:shd w:val="clear" w:color="auto" w:fill="B8CCE4"/>
          </w:tcPr>
          <w:p w:rsidR="00460A65" w:rsidRPr="00D80042" w:rsidRDefault="00460A65" w:rsidP="004F2067">
            <w:pPr>
              <w:rPr>
                <w:rFonts w:cs="Arial"/>
                <w:b/>
                <w:szCs w:val="19"/>
                <w:lang w:val="en-US"/>
              </w:rPr>
            </w:pPr>
            <w:r>
              <w:rPr>
                <w:rFonts w:cs="Arial"/>
                <w:b/>
                <w:szCs w:val="19"/>
                <w:lang w:val="en-US"/>
              </w:rPr>
              <w:t>DIRECT / OMD equivalent</w:t>
            </w:r>
          </w:p>
        </w:tc>
      </w:tr>
      <w:tr w:rsidR="00460A65" w:rsidRPr="00D45FA4" w:rsidTr="007A7205">
        <w:tc>
          <w:tcPr>
            <w:tcW w:w="2269" w:type="dxa"/>
          </w:tcPr>
          <w:p w:rsidR="00460A65" w:rsidRPr="00D80042" w:rsidRDefault="00BD68E2" w:rsidP="004F2067">
            <w:pPr>
              <w:rPr>
                <w:rFonts w:cs="Arial"/>
                <w:sz w:val="17"/>
                <w:szCs w:val="17"/>
                <w:lang w:val="en-US"/>
              </w:rPr>
            </w:pPr>
            <w:r>
              <w:rPr>
                <w:rFonts w:cs="Arial"/>
                <w:sz w:val="17"/>
                <w:szCs w:val="17"/>
                <w:lang w:val="en-US"/>
              </w:rPr>
              <w:t xml:space="preserve">Primary hash key i.e. </w:t>
            </w:r>
            <w:r w:rsidR="00460A65" w:rsidRPr="00D80042">
              <w:rPr>
                <w:rFonts w:cs="Arial"/>
                <w:sz w:val="17"/>
                <w:szCs w:val="17"/>
                <w:lang w:val="en-US"/>
              </w:rPr>
              <w:t>&lt;entity&gt;_SK</w:t>
            </w:r>
          </w:p>
        </w:tc>
        <w:tc>
          <w:tcPr>
            <w:tcW w:w="1275" w:type="dxa"/>
          </w:tcPr>
          <w:p w:rsidR="00460A65" w:rsidRDefault="00460A65" w:rsidP="004F2067">
            <w:pPr>
              <w:rPr>
                <w:rFonts w:cs="Arial"/>
                <w:sz w:val="17"/>
                <w:szCs w:val="17"/>
                <w:lang w:val="en-US"/>
              </w:rPr>
            </w:pPr>
            <w:r>
              <w:rPr>
                <w:rFonts w:cs="Arial"/>
                <w:sz w:val="17"/>
                <w:szCs w:val="17"/>
                <w:lang w:val="en-US"/>
              </w:rPr>
              <w:t>Optional</w:t>
            </w:r>
          </w:p>
        </w:tc>
        <w:tc>
          <w:tcPr>
            <w:tcW w:w="1418" w:type="dxa"/>
          </w:tcPr>
          <w:p w:rsidR="00460A65" w:rsidRPr="00D80042" w:rsidRDefault="00460A65" w:rsidP="004F2067">
            <w:pPr>
              <w:rPr>
                <w:rFonts w:cs="Arial"/>
                <w:sz w:val="17"/>
                <w:szCs w:val="17"/>
                <w:lang w:val="en-US"/>
              </w:rPr>
            </w:pPr>
            <w:r>
              <w:rPr>
                <w:rFonts w:cs="Arial"/>
                <w:sz w:val="17"/>
                <w:szCs w:val="17"/>
                <w:lang w:val="en-US"/>
              </w:rPr>
              <w:t>Character(32), when using MD5</w:t>
            </w:r>
            <w:r w:rsidR="007A7205">
              <w:rPr>
                <w:rFonts w:cs="Arial"/>
                <w:sz w:val="17"/>
                <w:szCs w:val="17"/>
                <w:lang w:val="en-US"/>
              </w:rPr>
              <w:t xml:space="preserve"> – not null</w:t>
            </w:r>
          </w:p>
        </w:tc>
        <w:tc>
          <w:tcPr>
            <w:tcW w:w="3538" w:type="dxa"/>
          </w:tcPr>
          <w:p w:rsidR="00460A65" w:rsidRPr="00D80042" w:rsidRDefault="00460A65" w:rsidP="004F2067">
            <w:pPr>
              <w:rPr>
                <w:rFonts w:cs="Arial"/>
                <w:sz w:val="17"/>
                <w:szCs w:val="17"/>
                <w:lang w:val="en-US"/>
              </w:rPr>
            </w:pPr>
            <w:r>
              <w:rPr>
                <w:rFonts w:cs="Arial"/>
                <w:sz w:val="17"/>
                <w:szCs w:val="17"/>
                <w:lang w:val="en-US"/>
              </w:rPr>
              <w:t>T</w:t>
            </w:r>
            <w:r w:rsidRPr="00D80042">
              <w:rPr>
                <w:rFonts w:cs="Arial"/>
                <w:sz w:val="17"/>
                <w:szCs w:val="17"/>
                <w:lang w:val="en-US"/>
              </w:rPr>
              <w:t>he</w:t>
            </w:r>
            <w:r>
              <w:rPr>
                <w:rFonts w:cs="Arial"/>
                <w:sz w:val="17"/>
                <w:szCs w:val="17"/>
                <w:lang w:val="en-US"/>
              </w:rPr>
              <w:t xml:space="preserve"> hashed value of the source (natural) key. Part of the</w:t>
            </w:r>
            <w:r w:rsidRPr="00D80042">
              <w:rPr>
                <w:rFonts w:cs="Arial"/>
                <w:sz w:val="17"/>
                <w:szCs w:val="17"/>
                <w:lang w:val="en-US"/>
              </w:rPr>
              <w:t xml:space="preserve"> primary key which is issued for each record in the history table. </w:t>
            </w:r>
            <w:r w:rsidR="00BD68E2">
              <w:rPr>
                <w:rFonts w:cs="Arial"/>
                <w:sz w:val="17"/>
                <w:szCs w:val="17"/>
                <w:lang w:val="en-US"/>
              </w:rPr>
              <w:t>Can be used instead of composite primary key.</w:t>
            </w:r>
          </w:p>
        </w:tc>
        <w:tc>
          <w:tcPr>
            <w:tcW w:w="1990" w:type="dxa"/>
          </w:tcPr>
          <w:p w:rsidR="00460A65" w:rsidRDefault="00460A65" w:rsidP="004F2067">
            <w:pPr>
              <w:rPr>
                <w:rFonts w:cs="Arial"/>
                <w:sz w:val="17"/>
                <w:szCs w:val="17"/>
                <w:lang w:val="en-US"/>
              </w:rPr>
            </w:pPr>
            <w:r>
              <w:rPr>
                <w:rFonts w:cs="Arial"/>
                <w:sz w:val="17"/>
                <w:szCs w:val="17"/>
                <w:lang w:val="en-US"/>
              </w:rPr>
              <w:t>N/A</w:t>
            </w:r>
          </w:p>
        </w:tc>
      </w:tr>
      <w:tr w:rsidR="00460A65" w:rsidRPr="00D45FA4" w:rsidTr="007A7205">
        <w:tc>
          <w:tcPr>
            <w:tcW w:w="2269" w:type="dxa"/>
          </w:tcPr>
          <w:p w:rsidR="00460A65" w:rsidRPr="00D80042" w:rsidRDefault="00460A65" w:rsidP="004F2067">
            <w:pPr>
              <w:rPr>
                <w:rFonts w:cs="Arial"/>
                <w:sz w:val="17"/>
                <w:szCs w:val="17"/>
                <w:lang w:val="en-US"/>
              </w:rPr>
            </w:pPr>
            <w:r>
              <w:rPr>
                <w:rFonts w:cs="Arial"/>
                <w:sz w:val="17"/>
                <w:szCs w:val="17"/>
                <w:lang w:val="en-US"/>
              </w:rPr>
              <w:t>Effective Date/Time</w:t>
            </w:r>
          </w:p>
        </w:tc>
        <w:tc>
          <w:tcPr>
            <w:tcW w:w="1275" w:type="dxa"/>
          </w:tcPr>
          <w:p w:rsidR="00460A65" w:rsidRPr="00D80042" w:rsidRDefault="007A7205" w:rsidP="004F2067">
            <w:pPr>
              <w:rPr>
                <w:rFonts w:cs="Arial"/>
                <w:sz w:val="17"/>
                <w:szCs w:val="17"/>
                <w:lang w:val="en-US"/>
              </w:rPr>
            </w:pPr>
            <w:r>
              <w:rPr>
                <w:rFonts w:cs="Arial"/>
                <w:sz w:val="17"/>
                <w:szCs w:val="17"/>
                <w:lang w:val="en-US"/>
              </w:rPr>
              <w:t>Required</w:t>
            </w:r>
          </w:p>
        </w:tc>
        <w:tc>
          <w:tcPr>
            <w:tcW w:w="1418" w:type="dxa"/>
          </w:tcPr>
          <w:p w:rsidR="00460A65" w:rsidRPr="00D80042" w:rsidRDefault="00460A65" w:rsidP="004F2067">
            <w:pPr>
              <w:rPr>
                <w:rFonts w:cs="Arial"/>
                <w:sz w:val="17"/>
                <w:szCs w:val="17"/>
                <w:lang w:val="en-US"/>
              </w:rPr>
            </w:pPr>
            <w:r>
              <w:rPr>
                <w:rFonts w:cs="Arial"/>
                <w:sz w:val="17"/>
                <w:szCs w:val="17"/>
                <w:lang w:val="en-US"/>
              </w:rPr>
              <w:t>High precision date/time</w:t>
            </w:r>
            <w:r w:rsidR="007A7205">
              <w:rPr>
                <w:rFonts w:cs="Arial"/>
                <w:sz w:val="17"/>
                <w:szCs w:val="17"/>
                <w:lang w:val="en-US"/>
              </w:rPr>
              <w:t xml:space="preserve"> – not null</w:t>
            </w:r>
            <w:r>
              <w:rPr>
                <w:rFonts w:cs="Arial"/>
                <w:sz w:val="17"/>
                <w:szCs w:val="17"/>
                <w:lang w:val="en-US"/>
              </w:rPr>
              <w:t xml:space="preserve"> </w:t>
            </w:r>
          </w:p>
        </w:tc>
        <w:tc>
          <w:tcPr>
            <w:tcW w:w="3538" w:type="dxa"/>
          </w:tcPr>
          <w:p w:rsidR="00460A65" w:rsidRPr="00D80042" w:rsidRDefault="00460A65" w:rsidP="00D80042">
            <w:pPr>
              <w:rPr>
                <w:rFonts w:cs="Arial"/>
                <w:sz w:val="17"/>
                <w:szCs w:val="17"/>
                <w:lang w:val="en-US"/>
              </w:rPr>
            </w:pPr>
            <w:r>
              <w:rPr>
                <w:rFonts w:cs="Arial"/>
                <w:sz w:val="17"/>
                <w:szCs w:val="17"/>
                <w:lang w:val="en-US"/>
              </w:rPr>
              <w:t>The date/</w:t>
            </w:r>
            <w:r w:rsidRPr="00D80042">
              <w:rPr>
                <w:rFonts w:cs="Arial"/>
                <w:sz w:val="17"/>
                <w:szCs w:val="17"/>
                <w:lang w:val="en-US"/>
              </w:rPr>
              <w:t xml:space="preserve">time that the record has been presented to the Data Warehouse environment. </w:t>
            </w:r>
            <w:r>
              <w:rPr>
                <w:rFonts w:cs="Arial"/>
                <w:sz w:val="17"/>
                <w:szCs w:val="17"/>
                <w:lang w:val="en-US"/>
              </w:rPr>
              <w:t>If a Staging Area is used these values will be inherited.</w:t>
            </w:r>
          </w:p>
        </w:tc>
        <w:tc>
          <w:tcPr>
            <w:tcW w:w="1990" w:type="dxa"/>
          </w:tcPr>
          <w:p w:rsidR="00460A65" w:rsidRDefault="00460A65" w:rsidP="00D80042">
            <w:pPr>
              <w:rPr>
                <w:rFonts w:cs="Arial"/>
                <w:sz w:val="17"/>
                <w:szCs w:val="17"/>
                <w:lang w:val="en-US"/>
              </w:rPr>
            </w:pPr>
            <w:r>
              <w:rPr>
                <w:rFonts w:cs="Arial"/>
                <w:sz w:val="17"/>
                <w:szCs w:val="17"/>
                <w:lang w:val="en-US"/>
              </w:rPr>
              <w:t xml:space="preserve">OMD Insert </w:t>
            </w:r>
            <w:proofErr w:type="spellStart"/>
            <w:r>
              <w:rPr>
                <w:rFonts w:cs="Arial"/>
                <w:sz w:val="17"/>
                <w:szCs w:val="17"/>
                <w:lang w:val="en-US"/>
              </w:rPr>
              <w:t>Datetime</w:t>
            </w:r>
            <w:proofErr w:type="spellEnd"/>
          </w:p>
        </w:tc>
      </w:tr>
      <w:tr w:rsidR="00460A65" w:rsidRPr="00D45FA4" w:rsidTr="007A7205">
        <w:tc>
          <w:tcPr>
            <w:tcW w:w="2269" w:type="dxa"/>
          </w:tcPr>
          <w:p w:rsidR="00460A65" w:rsidRDefault="00460A65" w:rsidP="004F2067">
            <w:pPr>
              <w:rPr>
                <w:rFonts w:cs="Arial"/>
                <w:sz w:val="17"/>
                <w:szCs w:val="17"/>
                <w:lang w:val="en-US"/>
              </w:rPr>
            </w:pPr>
            <w:r>
              <w:rPr>
                <w:rFonts w:cs="Arial"/>
                <w:sz w:val="17"/>
                <w:szCs w:val="17"/>
                <w:lang w:val="en-US"/>
              </w:rPr>
              <w:t>Event Date/Time</w:t>
            </w:r>
          </w:p>
        </w:tc>
        <w:tc>
          <w:tcPr>
            <w:tcW w:w="1275" w:type="dxa"/>
          </w:tcPr>
          <w:p w:rsidR="00460A65" w:rsidRDefault="007A7205" w:rsidP="004F2067">
            <w:pPr>
              <w:rPr>
                <w:rFonts w:cs="Arial"/>
                <w:sz w:val="17"/>
                <w:szCs w:val="17"/>
                <w:lang w:val="en-US"/>
              </w:rPr>
            </w:pPr>
            <w:r>
              <w:rPr>
                <w:rFonts w:cs="Arial"/>
                <w:sz w:val="17"/>
                <w:szCs w:val="17"/>
                <w:lang w:val="en-US"/>
              </w:rPr>
              <w:t>Required</w:t>
            </w:r>
          </w:p>
        </w:tc>
        <w:tc>
          <w:tcPr>
            <w:tcW w:w="1418" w:type="dxa"/>
          </w:tcPr>
          <w:p w:rsidR="00460A65" w:rsidRDefault="00460A65" w:rsidP="004F2067">
            <w:pPr>
              <w:rPr>
                <w:rFonts w:cs="Arial"/>
                <w:sz w:val="17"/>
                <w:szCs w:val="17"/>
                <w:lang w:val="en-US"/>
              </w:rPr>
            </w:pPr>
            <w:r>
              <w:rPr>
                <w:rFonts w:cs="Arial"/>
                <w:sz w:val="17"/>
                <w:szCs w:val="17"/>
                <w:lang w:val="en-US"/>
              </w:rPr>
              <w:t>High precision date/time</w:t>
            </w:r>
            <w:r w:rsidR="007A7205">
              <w:rPr>
                <w:rFonts w:cs="Arial"/>
                <w:sz w:val="17"/>
                <w:szCs w:val="17"/>
                <w:lang w:val="en-US"/>
              </w:rPr>
              <w:t xml:space="preserve"> – not null</w:t>
            </w:r>
          </w:p>
        </w:tc>
        <w:tc>
          <w:tcPr>
            <w:tcW w:w="3538" w:type="dxa"/>
          </w:tcPr>
          <w:p w:rsidR="00460A65" w:rsidRDefault="00460A65" w:rsidP="00D80042">
            <w:pPr>
              <w:rPr>
                <w:rFonts w:cs="Arial"/>
                <w:sz w:val="17"/>
                <w:szCs w:val="17"/>
                <w:lang w:val="en-US"/>
              </w:rPr>
            </w:pPr>
            <w:r>
              <w:rPr>
                <w:rFonts w:cs="Arial"/>
                <w:sz w:val="17"/>
                <w:szCs w:val="17"/>
                <w:lang w:val="en-US"/>
              </w:rPr>
              <w:t>The date/time the change occurred in the source system. If a Staging Area is used these values will be inherited.</w:t>
            </w:r>
          </w:p>
        </w:tc>
        <w:tc>
          <w:tcPr>
            <w:tcW w:w="1990" w:type="dxa"/>
          </w:tcPr>
          <w:p w:rsidR="00460A65" w:rsidRDefault="00460A65" w:rsidP="00D80042">
            <w:pPr>
              <w:rPr>
                <w:rFonts w:cs="Arial"/>
                <w:sz w:val="17"/>
                <w:szCs w:val="17"/>
                <w:lang w:val="en-US"/>
              </w:rPr>
            </w:pPr>
            <w:r>
              <w:rPr>
                <w:rFonts w:cs="Arial"/>
                <w:sz w:val="17"/>
                <w:szCs w:val="17"/>
                <w:lang w:val="en-US"/>
              </w:rPr>
              <w:t xml:space="preserve">OMD Event </w:t>
            </w:r>
            <w:proofErr w:type="spellStart"/>
            <w:r>
              <w:rPr>
                <w:rFonts w:cs="Arial"/>
                <w:sz w:val="17"/>
                <w:szCs w:val="17"/>
                <w:lang w:val="en-US"/>
              </w:rPr>
              <w:t>Datetime</w:t>
            </w:r>
            <w:proofErr w:type="spellEnd"/>
          </w:p>
        </w:tc>
      </w:tr>
      <w:tr w:rsidR="00460A65" w:rsidRPr="00D45FA4" w:rsidTr="007A7205">
        <w:tc>
          <w:tcPr>
            <w:tcW w:w="2269" w:type="dxa"/>
          </w:tcPr>
          <w:p w:rsidR="00460A65" w:rsidRDefault="00521431" w:rsidP="004F2067">
            <w:pPr>
              <w:rPr>
                <w:rFonts w:cs="Arial"/>
                <w:sz w:val="17"/>
                <w:szCs w:val="17"/>
                <w:lang w:val="en-US"/>
              </w:rPr>
            </w:pPr>
            <w:r>
              <w:rPr>
                <w:rFonts w:cs="Arial"/>
                <w:sz w:val="17"/>
                <w:szCs w:val="17"/>
                <w:lang w:val="en-US"/>
              </w:rPr>
              <w:t>Source System ID / Code</w:t>
            </w:r>
          </w:p>
        </w:tc>
        <w:tc>
          <w:tcPr>
            <w:tcW w:w="1275" w:type="dxa"/>
          </w:tcPr>
          <w:p w:rsidR="00460A65" w:rsidRDefault="007A7205" w:rsidP="004F2067">
            <w:pPr>
              <w:rPr>
                <w:rFonts w:cs="Arial"/>
                <w:sz w:val="17"/>
                <w:szCs w:val="17"/>
                <w:lang w:val="en-US"/>
              </w:rPr>
            </w:pPr>
            <w:r>
              <w:rPr>
                <w:rFonts w:cs="Arial"/>
                <w:sz w:val="17"/>
                <w:szCs w:val="17"/>
                <w:lang w:val="en-US"/>
              </w:rPr>
              <w:t>Required</w:t>
            </w:r>
          </w:p>
        </w:tc>
        <w:tc>
          <w:tcPr>
            <w:tcW w:w="1418" w:type="dxa"/>
          </w:tcPr>
          <w:p w:rsidR="00460A65" w:rsidRDefault="00521431" w:rsidP="00521431">
            <w:pPr>
              <w:rPr>
                <w:rFonts w:cs="Arial"/>
                <w:sz w:val="17"/>
                <w:szCs w:val="17"/>
                <w:lang w:val="en-US"/>
              </w:rPr>
            </w:pPr>
            <w:proofErr w:type="spellStart"/>
            <w:r>
              <w:rPr>
                <w:rFonts w:cs="Arial"/>
                <w:sz w:val="17"/>
                <w:szCs w:val="17"/>
                <w:lang w:val="en-US"/>
              </w:rPr>
              <w:t>Varchar</w:t>
            </w:r>
            <w:proofErr w:type="spellEnd"/>
            <w:r>
              <w:rPr>
                <w:rFonts w:cs="Arial"/>
                <w:sz w:val="17"/>
                <w:szCs w:val="17"/>
                <w:lang w:val="en-US"/>
              </w:rPr>
              <w:t>(100)</w:t>
            </w:r>
            <w:r w:rsidR="007A7205">
              <w:rPr>
                <w:rFonts w:cs="Arial"/>
                <w:sz w:val="17"/>
                <w:szCs w:val="17"/>
                <w:lang w:val="en-US"/>
              </w:rPr>
              <w:t xml:space="preserve"> – not null</w:t>
            </w:r>
          </w:p>
        </w:tc>
        <w:tc>
          <w:tcPr>
            <w:tcW w:w="3538" w:type="dxa"/>
          </w:tcPr>
          <w:p w:rsidR="00460A65" w:rsidRDefault="00521431" w:rsidP="00521431">
            <w:pPr>
              <w:rPr>
                <w:rFonts w:cs="Arial"/>
                <w:sz w:val="17"/>
                <w:szCs w:val="17"/>
                <w:lang w:val="en-US"/>
              </w:rPr>
            </w:pPr>
            <w:r>
              <w:rPr>
                <w:rFonts w:cs="Arial"/>
                <w:sz w:val="17"/>
                <w:szCs w:val="17"/>
                <w:lang w:val="en-US"/>
              </w:rPr>
              <w:t>The code or ID for the</w:t>
            </w:r>
            <w:r w:rsidRPr="00D80042">
              <w:rPr>
                <w:rFonts w:cs="Arial"/>
                <w:sz w:val="17"/>
                <w:szCs w:val="17"/>
                <w:lang w:val="en-US"/>
              </w:rPr>
              <w:t xml:space="preserve"> source system that supplied the </w:t>
            </w:r>
            <w:r>
              <w:rPr>
                <w:rFonts w:cs="Arial"/>
                <w:sz w:val="17"/>
                <w:szCs w:val="17"/>
                <w:lang w:val="en-US"/>
              </w:rPr>
              <w:t>data</w:t>
            </w:r>
            <w:r w:rsidRPr="00D80042">
              <w:rPr>
                <w:rFonts w:cs="Arial"/>
                <w:sz w:val="17"/>
                <w:szCs w:val="17"/>
                <w:lang w:val="en-US"/>
              </w:rPr>
              <w:t>.</w:t>
            </w:r>
          </w:p>
        </w:tc>
        <w:tc>
          <w:tcPr>
            <w:tcW w:w="1990" w:type="dxa"/>
          </w:tcPr>
          <w:p w:rsidR="00460A65" w:rsidRDefault="00521431" w:rsidP="00D80042">
            <w:pPr>
              <w:rPr>
                <w:rFonts w:cs="Arial"/>
                <w:sz w:val="17"/>
                <w:szCs w:val="17"/>
                <w:lang w:val="en-US"/>
              </w:rPr>
            </w:pPr>
            <w:r>
              <w:rPr>
                <w:rFonts w:cs="Arial"/>
                <w:sz w:val="17"/>
                <w:szCs w:val="17"/>
                <w:lang w:val="en-US"/>
              </w:rPr>
              <w:t>OMD Record Source</w:t>
            </w:r>
          </w:p>
        </w:tc>
      </w:tr>
      <w:tr w:rsidR="00521431" w:rsidRPr="00D45FA4" w:rsidTr="007A7205">
        <w:tc>
          <w:tcPr>
            <w:tcW w:w="2269" w:type="dxa"/>
          </w:tcPr>
          <w:p w:rsidR="00521431" w:rsidRDefault="00521431" w:rsidP="004F2067">
            <w:pPr>
              <w:rPr>
                <w:rFonts w:cs="Arial"/>
                <w:sz w:val="17"/>
                <w:szCs w:val="17"/>
                <w:lang w:val="en-US"/>
              </w:rPr>
            </w:pPr>
            <w:r>
              <w:rPr>
                <w:rFonts w:cs="Arial"/>
                <w:sz w:val="17"/>
                <w:szCs w:val="17"/>
                <w:lang w:val="en-US"/>
              </w:rPr>
              <w:t>Source Row ID</w:t>
            </w:r>
          </w:p>
        </w:tc>
        <w:tc>
          <w:tcPr>
            <w:tcW w:w="1275" w:type="dxa"/>
          </w:tcPr>
          <w:p w:rsidR="00521431" w:rsidRDefault="007A7205" w:rsidP="004F2067">
            <w:pPr>
              <w:rPr>
                <w:rFonts w:cs="Arial"/>
                <w:sz w:val="17"/>
                <w:szCs w:val="17"/>
                <w:lang w:val="en-US"/>
              </w:rPr>
            </w:pPr>
            <w:r>
              <w:rPr>
                <w:rFonts w:cs="Arial"/>
                <w:sz w:val="17"/>
                <w:szCs w:val="17"/>
                <w:lang w:val="en-US"/>
              </w:rPr>
              <w:t>Required</w:t>
            </w:r>
          </w:p>
        </w:tc>
        <w:tc>
          <w:tcPr>
            <w:tcW w:w="1418" w:type="dxa"/>
          </w:tcPr>
          <w:p w:rsidR="00521431" w:rsidRDefault="00521431" w:rsidP="00521431">
            <w:pPr>
              <w:rPr>
                <w:rFonts w:cs="Arial"/>
                <w:sz w:val="17"/>
                <w:szCs w:val="17"/>
                <w:lang w:val="en-US"/>
              </w:rPr>
            </w:pPr>
            <w:r>
              <w:rPr>
                <w:rFonts w:cs="Arial"/>
                <w:sz w:val="17"/>
                <w:szCs w:val="17"/>
                <w:lang w:val="en-US"/>
              </w:rPr>
              <w:t>Integer</w:t>
            </w:r>
            <w:r w:rsidR="007A7205">
              <w:rPr>
                <w:rFonts w:cs="Arial"/>
                <w:sz w:val="17"/>
                <w:szCs w:val="17"/>
                <w:lang w:val="en-US"/>
              </w:rPr>
              <w:t xml:space="preserve"> – not null</w:t>
            </w:r>
          </w:p>
        </w:tc>
        <w:tc>
          <w:tcPr>
            <w:tcW w:w="3538" w:type="dxa"/>
          </w:tcPr>
          <w:p w:rsidR="00521431" w:rsidRDefault="00521431" w:rsidP="00521431">
            <w:pPr>
              <w:rPr>
                <w:rFonts w:cs="Arial"/>
                <w:sz w:val="17"/>
                <w:szCs w:val="17"/>
                <w:lang w:val="en-US"/>
              </w:rPr>
            </w:pPr>
            <w:r>
              <w:rPr>
                <w:rFonts w:cs="Arial"/>
                <w:sz w:val="17"/>
                <w:szCs w:val="17"/>
                <w:lang w:val="en-US"/>
              </w:rPr>
              <w:t xml:space="preserve">Audit attribute that captures the row order within the data delta as provided by a unique ETL execution. The combination of the unique execution instance and the row ID will always relate back to a single record. Also used to distinguish order if the effective date/time </w:t>
            </w:r>
            <w:proofErr w:type="gramStart"/>
            <w:r>
              <w:rPr>
                <w:rFonts w:cs="Arial"/>
                <w:sz w:val="17"/>
                <w:szCs w:val="17"/>
                <w:lang w:val="en-US"/>
              </w:rPr>
              <w:t>itself</w:t>
            </w:r>
            <w:proofErr w:type="gramEnd"/>
            <w:r>
              <w:rPr>
                <w:rFonts w:cs="Arial"/>
                <w:sz w:val="17"/>
                <w:szCs w:val="17"/>
                <w:lang w:val="en-US"/>
              </w:rPr>
              <w:t xml:space="preserve"> is not unique for a given key (due to fast-changing data). If a Staging Area is used these values will be inherited.</w:t>
            </w:r>
          </w:p>
        </w:tc>
        <w:tc>
          <w:tcPr>
            <w:tcW w:w="1990" w:type="dxa"/>
          </w:tcPr>
          <w:p w:rsidR="00521431" w:rsidRDefault="00521431" w:rsidP="00D80042">
            <w:pPr>
              <w:rPr>
                <w:rFonts w:cs="Arial"/>
                <w:sz w:val="17"/>
                <w:szCs w:val="17"/>
                <w:lang w:val="en-US"/>
              </w:rPr>
            </w:pPr>
            <w:r>
              <w:rPr>
                <w:rFonts w:cs="Arial"/>
                <w:sz w:val="17"/>
                <w:szCs w:val="17"/>
                <w:lang w:val="en-US"/>
              </w:rPr>
              <w:t>OMD Source Row ID</w:t>
            </w:r>
          </w:p>
        </w:tc>
      </w:tr>
      <w:tr w:rsidR="00BD68E2" w:rsidRPr="00D45FA4" w:rsidTr="007A7205">
        <w:tc>
          <w:tcPr>
            <w:tcW w:w="2269" w:type="dxa"/>
          </w:tcPr>
          <w:p w:rsidR="00BD68E2" w:rsidRDefault="00BD68E2" w:rsidP="004F2067">
            <w:pPr>
              <w:rPr>
                <w:rFonts w:cs="Arial"/>
                <w:sz w:val="17"/>
                <w:szCs w:val="17"/>
                <w:lang w:val="en-US"/>
              </w:rPr>
            </w:pPr>
            <w:r>
              <w:rPr>
                <w:rFonts w:cs="Arial"/>
                <w:sz w:val="17"/>
                <w:szCs w:val="17"/>
                <w:lang w:val="en-US"/>
              </w:rPr>
              <w:t>CDC Operation</w:t>
            </w:r>
          </w:p>
        </w:tc>
        <w:tc>
          <w:tcPr>
            <w:tcW w:w="1275" w:type="dxa"/>
          </w:tcPr>
          <w:p w:rsidR="00BD68E2" w:rsidRDefault="007A7205" w:rsidP="004F2067">
            <w:pPr>
              <w:rPr>
                <w:rFonts w:cs="Arial"/>
                <w:sz w:val="17"/>
                <w:szCs w:val="17"/>
                <w:lang w:val="en-US"/>
              </w:rPr>
            </w:pPr>
            <w:r>
              <w:rPr>
                <w:rFonts w:cs="Arial"/>
                <w:sz w:val="17"/>
                <w:szCs w:val="17"/>
                <w:lang w:val="en-US"/>
              </w:rPr>
              <w:t>Required</w:t>
            </w:r>
          </w:p>
        </w:tc>
        <w:tc>
          <w:tcPr>
            <w:tcW w:w="1418" w:type="dxa"/>
          </w:tcPr>
          <w:p w:rsidR="00BD68E2" w:rsidRDefault="00BD68E2" w:rsidP="00521431">
            <w:pPr>
              <w:rPr>
                <w:rFonts w:cs="Arial"/>
                <w:sz w:val="17"/>
                <w:szCs w:val="17"/>
                <w:lang w:val="en-US"/>
              </w:rPr>
            </w:pPr>
            <w:proofErr w:type="spellStart"/>
            <w:r>
              <w:rPr>
                <w:rFonts w:cs="Arial"/>
                <w:sz w:val="17"/>
                <w:szCs w:val="17"/>
                <w:lang w:val="en-US"/>
              </w:rPr>
              <w:t>Varchar</w:t>
            </w:r>
            <w:proofErr w:type="spellEnd"/>
            <w:r>
              <w:rPr>
                <w:rFonts w:cs="Arial"/>
                <w:sz w:val="17"/>
                <w:szCs w:val="17"/>
                <w:lang w:val="en-US"/>
              </w:rPr>
              <w:t>(100)</w:t>
            </w:r>
            <w:r w:rsidR="007A7205">
              <w:rPr>
                <w:rFonts w:cs="Arial"/>
                <w:sz w:val="17"/>
                <w:szCs w:val="17"/>
                <w:lang w:val="en-US"/>
              </w:rPr>
              <w:t xml:space="preserve"> – not null</w:t>
            </w:r>
          </w:p>
        </w:tc>
        <w:tc>
          <w:tcPr>
            <w:tcW w:w="3538" w:type="dxa"/>
          </w:tcPr>
          <w:p w:rsidR="00BD68E2" w:rsidRDefault="00BD68E2" w:rsidP="00BD68E2">
            <w:pPr>
              <w:rPr>
                <w:rFonts w:cs="Arial"/>
                <w:sz w:val="17"/>
                <w:szCs w:val="17"/>
                <w:lang w:val="en-US"/>
              </w:rPr>
            </w:pPr>
            <w:r>
              <w:rPr>
                <w:rFonts w:cs="Arial"/>
                <w:sz w:val="17"/>
                <w:szCs w:val="17"/>
                <w:lang w:val="en-US"/>
              </w:rPr>
              <w:t>Information derived or received by the ETL process to derive logical deletes. If a Staging Area is used these values will be inherited.</w:t>
            </w:r>
          </w:p>
        </w:tc>
        <w:tc>
          <w:tcPr>
            <w:tcW w:w="1990" w:type="dxa"/>
          </w:tcPr>
          <w:p w:rsidR="00BD68E2" w:rsidRDefault="00BD68E2" w:rsidP="00D80042">
            <w:pPr>
              <w:rPr>
                <w:rFonts w:cs="Arial"/>
                <w:sz w:val="17"/>
                <w:szCs w:val="17"/>
                <w:lang w:val="en-US"/>
              </w:rPr>
            </w:pPr>
            <w:r>
              <w:rPr>
                <w:rFonts w:cs="Arial"/>
                <w:sz w:val="17"/>
                <w:szCs w:val="17"/>
                <w:lang w:val="en-US"/>
              </w:rPr>
              <w:t>OMD CDC Operation</w:t>
            </w:r>
          </w:p>
        </w:tc>
      </w:tr>
      <w:tr w:rsidR="00E9227A" w:rsidRPr="00D45FA4" w:rsidTr="007A7205">
        <w:tc>
          <w:tcPr>
            <w:tcW w:w="2269" w:type="dxa"/>
          </w:tcPr>
          <w:p w:rsidR="00E9227A" w:rsidRDefault="00E9227A" w:rsidP="004F2067">
            <w:pPr>
              <w:rPr>
                <w:rFonts w:cs="Arial"/>
                <w:sz w:val="17"/>
                <w:szCs w:val="17"/>
                <w:lang w:val="en-US"/>
              </w:rPr>
            </w:pPr>
            <w:r>
              <w:rPr>
                <w:rFonts w:cs="Arial"/>
                <w:sz w:val="17"/>
                <w:szCs w:val="17"/>
                <w:lang w:val="en-US"/>
              </w:rPr>
              <w:t>Full row hash</w:t>
            </w:r>
          </w:p>
        </w:tc>
        <w:tc>
          <w:tcPr>
            <w:tcW w:w="1275" w:type="dxa"/>
          </w:tcPr>
          <w:p w:rsidR="00E9227A" w:rsidRDefault="00E9227A" w:rsidP="004F2067">
            <w:pPr>
              <w:rPr>
                <w:rFonts w:cs="Arial"/>
                <w:sz w:val="17"/>
                <w:szCs w:val="17"/>
                <w:lang w:val="en-US"/>
              </w:rPr>
            </w:pPr>
            <w:r>
              <w:rPr>
                <w:rFonts w:cs="Arial"/>
                <w:sz w:val="17"/>
                <w:szCs w:val="17"/>
                <w:lang w:val="en-US"/>
              </w:rPr>
              <w:t>Optional</w:t>
            </w:r>
          </w:p>
        </w:tc>
        <w:tc>
          <w:tcPr>
            <w:tcW w:w="1418" w:type="dxa"/>
          </w:tcPr>
          <w:p w:rsidR="00E9227A" w:rsidRDefault="00E9227A" w:rsidP="00521431">
            <w:pPr>
              <w:rPr>
                <w:rFonts w:cs="Arial"/>
                <w:sz w:val="17"/>
                <w:szCs w:val="17"/>
                <w:lang w:val="en-US"/>
              </w:rPr>
            </w:pPr>
            <w:r>
              <w:rPr>
                <w:rFonts w:cs="Arial"/>
                <w:sz w:val="17"/>
                <w:szCs w:val="17"/>
                <w:lang w:val="en-US"/>
              </w:rPr>
              <w:t>Character(32), when using MD5</w:t>
            </w:r>
            <w:r w:rsidR="007A7205">
              <w:rPr>
                <w:rFonts w:cs="Arial"/>
                <w:sz w:val="17"/>
                <w:szCs w:val="17"/>
                <w:lang w:val="en-US"/>
              </w:rPr>
              <w:t xml:space="preserve"> – not null</w:t>
            </w:r>
          </w:p>
        </w:tc>
        <w:tc>
          <w:tcPr>
            <w:tcW w:w="3538" w:type="dxa"/>
          </w:tcPr>
          <w:p w:rsidR="00E9227A" w:rsidRDefault="00E9227A" w:rsidP="00BD68E2">
            <w:pPr>
              <w:rPr>
                <w:rFonts w:cs="Arial"/>
                <w:sz w:val="17"/>
                <w:szCs w:val="17"/>
                <w:lang w:val="en-US"/>
              </w:rPr>
            </w:pPr>
            <w:r w:rsidRPr="00565878">
              <w:rPr>
                <w:rFonts w:cs="Arial"/>
                <w:sz w:val="17"/>
                <w:szCs w:val="17"/>
                <w:lang w:val="en-US"/>
              </w:rPr>
              <w:t>Using a checksum for record comparison requires storing a checksum value as an attribute.</w:t>
            </w:r>
            <w:r>
              <w:rPr>
                <w:rFonts w:cs="Arial"/>
                <w:sz w:val="17"/>
                <w:szCs w:val="17"/>
                <w:lang w:val="en-US"/>
              </w:rPr>
              <w:t xml:space="preserve"> Can be made optional if column-by-column comparison is implemented instead. If a Staging Area is used these values will be inherited.</w:t>
            </w:r>
          </w:p>
        </w:tc>
        <w:tc>
          <w:tcPr>
            <w:tcW w:w="1990" w:type="dxa"/>
          </w:tcPr>
          <w:p w:rsidR="00E9227A" w:rsidRDefault="00E9227A" w:rsidP="00D80042">
            <w:pPr>
              <w:rPr>
                <w:rFonts w:cs="Arial"/>
                <w:sz w:val="17"/>
                <w:szCs w:val="17"/>
                <w:lang w:val="en-US"/>
              </w:rPr>
            </w:pPr>
            <w:r>
              <w:rPr>
                <w:rFonts w:cs="Arial"/>
                <w:sz w:val="17"/>
                <w:szCs w:val="17"/>
                <w:lang w:val="en-US"/>
              </w:rPr>
              <w:t>OMD Hash Full Record</w:t>
            </w:r>
          </w:p>
        </w:tc>
      </w:tr>
      <w:tr w:rsidR="007A7205" w:rsidRPr="00D45FA4" w:rsidTr="007A7205">
        <w:tc>
          <w:tcPr>
            <w:tcW w:w="2269" w:type="dxa"/>
          </w:tcPr>
          <w:p w:rsidR="007A7205" w:rsidRDefault="007A7205" w:rsidP="004F2067">
            <w:pPr>
              <w:rPr>
                <w:rFonts w:cs="Arial"/>
                <w:sz w:val="17"/>
                <w:szCs w:val="17"/>
                <w:lang w:val="en-US"/>
              </w:rPr>
            </w:pPr>
            <w:r>
              <w:rPr>
                <w:rFonts w:cs="Arial"/>
                <w:sz w:val="17"/>
                <w:szCs w:val="17"/>
                <w:lang w:val="en-US"/>
              </w:rPr>
              <w:t>ETL Process Execution ID</w:t>
            </w:r>
          </w:p>
        </w:tc>
        <w:tc>
          <w:tcPr>
            <w:tcW w:w="1275" w:type="dxa"/>
          </w:tcPr>
          <w:p w:rsidR="007A7205" w:rsidRDefault="007A7205" w:rsidP="004F2067">
            <w:pPr>
              <w:rPr>
                <w:rFonts w:cs="Arial"/>
                <w:sz w:val="17"/>
                <w:szCs w:val="17"/>
                <w:lang w:val="en-US"/>
              </w:rPr>
            </w:pPr>
            <w:r>
              <w:rPr>
                <w:rFonts w:cs="Arial"/>
                <w:sz w:val="17"/>
                <w:szCs w:val="17"/>
                <w:lang w:val="en-US"/>
              </w:rPr>
              <w:t>Required</w:t>
            </w:r>
          </w:p>
        </w:tc>
        <w:tc>
          <w:tcPr>
            <w:tcW w:w="1418" w:type="dxa"/>
          </w:tcPr>
          <w:p w:rsidR="007A7205" w:rsidRDefault="007A7205" w:rsidP="00521431">
            <w:pPr>
              <w:rPr>
                <w:rFonts w:cs="Arial"/>
                <w:sz w:val="17"/>
                <w:szCs w:val="17"/>
                <w:lang w:val="en-US"/>
              </w:rPr>
            </w:pPr>
            <w:r>
              <w:rPr>
                <w:rFonts w:cs="Arial"/>
                <w:sz w:val="17"/>
                <w:szCs w:val="17"/>
                <w:lang w:val="en-US"/>
              </w:rPr>
              <w:t>Integer – not null</w:t>
            </w:r>
          </w:p>
        </w:tc>
        <w:tc>
          <w:tcPr>
            <w:tcW w:w="3538" w:type="dxa"/>
          </w:tcPr>
          <w:p w:rsidR="007A7205" w:rsidRPr="00565878" w:rsidRDefault="007A7205" w:rsidP="00BD68E2">
            <w:pPr>
              <w:rPr>
                <w:rFonts w:cs="Arial"/>
                <w:sz w:val="17"/>
                <w:szCs w:val="17"/>
                <w:lang w:val="en-US"/>
              </w:rPr>
            </w:pPr>
            <w:r>
              <w:rPr>
                <w:rFonts w:cs="Arial"/>
                <w:sz w:val="17"/>
                <w:szCs w:val="17"/>
                <w:lang w:val="en-US"/>
              </w:rPr>
              <w:t>L</w:t>
            </w:r>
            <w:r w:rsidRPr="00D80042">
              <w:rPr>
                <w:rFonts w:cs="Arial"/>
                <w:sz w:val="17"/>
                <w:szCs w:val="17"/>
                <w:lang w:val="en-US"/>
              </w:rPr>
              <w:t>ogging which</w:t>
            </w:r>
            <w:r>
              <w:rPr>
                <w:rFonts w:cs="Arial"/>
                <w:sz w:val="17"/>
                <w:szCs w:val="17"/>
                <w:lang w:val="en-US"/>
              </w:rPr>
              <w:t xml:space="preserve"> unique ETL</w:t>
            </w:r>
            <w:r w:rsidRPr="00D80042">
              <w:rPr>
                <w:rFonts w:cs="Arial"/>
                <w:sz w:val="17"/>
                <w:szCs w:val="17"/>
                <w:lang w:val="en-US"/>
              </w:rPr>
              <w:t xml:space="preserve"> process has inserted the record</w:t>
            </w:r>
            <w:r>
              <w:rPr>
                <w:rFonts w:cs="Arial"/>
                <w:sz w:val="17"/>
                <w:szCs w:val="17"/>
                <w:lang w:val="en-US"/>
              </w:rPr>
              <w:t>.</w:t>
            </w:r>
          </w:p>
        </w:tc>
        <w:tc>
          <w:tcPr>
            <w:tcW w:w="1990" w:type="dxa"/>
          </w:tcPr>
          <w:p w:rsidR="007A7205" w:rsidRDefault="007A7205" w:rsidP="00D80042">
            <w:pPr>
              <w:rPr>
                <w:rFonts w:cs="Arial"/>
                <w:sz w:val="17"/>
                <w:szCs w:val="17"/>
                <w:lang w:val="en-US"/>
              </w:rPr>
            </w:pPr>
            <w:r>
              <w:rPr>
                <w:rFonts w:cs="Arial"/>
                <w:sz w:val="17"/>
                <w:szCs w:val="17"/>
                <w:lang w:val="en-US"/>
              </w:rPr>
              <w:t>OMD Insert Module Instance ID</w:t>
            </w:r>
          </w:p>
        </w:tc>
      </w:tr>
      <w:tr w:rsidR="00460A65" w:rsidRPr="00D45FA4" w:rsidTr="007A7205">
        <w:tc>
          <w:tcPr>
            <w:tcW w:w="2269" w:type="dxa"/>
          </w:tcPr>
          <w:p w:rsidR="00460A65" w:rsidRPr="00D80042" w:rsidRDefault="007A7205" w:rsidP="004F2067">
            <w:pPr>
              <w:rPr>
                <w:rFonts w:cs="Arial"/>
                <w:sz w:val="17"/>
                <w:szCs w:val="17"/>
                <w:lang w:val="en-US"/>
              </w:rPr>
            </w:pPr>
            <w:r>
              <w:rPr>
                <w:rFonts w:cs="Arial"/>
                <w:sz w:val="17"/>
                <w:szCs w:val="17"/>
                <w:lang w:val="en-US"/>
              </w:rPr>
              <w:t>Current Row Indicator</w:t>
            </w:r>
          </w:p>
        </w:tc>
        <w:tc>
          <w:tcPr>
            <w:tcW w:w="1275" w:type="dxa"/>
          </w:tcPr>
          <w:p w:rsidR="00460A65" w:rsidRPr="00D80042" w:rsidRDefault="007A7205" w:rsidP="004F2067">
            <w:pPr>
              <w:rPr>
                <w:rFonts w:cs="Arial"/>
                <w:sz w:val="17"/>
                <w:szCs w:val="17"/>
                <w:lang w:val="en-US"/>
              </w:rPr>
            </w:pPr>
            <w:r>
              <w:rPr>
                <w:rFonts w:cs="Arial"/>
                <w:sz w:val="17"/>
                <w:szCs w:val="17"/>
                <w:lang w:val="en-US"/>
              </w:rPr>
              <w:t>Optional</w:t>
            </w:r>
          </w:p>
        </w:tc>
        <w:tc>
          <w:tcPr>
            <w:tcW w:w="1418" w:type="dxa"/>
          </w:tcPr>
          <w:p w:rsidR="00460A65" w:rsidRPr="00D80042" w:rsidRDefault="007A7205" w:rsidP="004F2067">
            <w:pPr>
              <w:rPr>
                <w:rFonts w:cs="Arial"/>
                <w:sz w:val="17"/>
                <w:szCs w:val="17"/>
                <w:lang w:val="en-US"/>
              </w:rPr>
            </w:pPr>
            <w:proofErr w:type="spellStart"/>
            <w:r>
              <w:rPr>
                <w:rFonts w:cs="Arial"/>
                <w:sz w:val="17"/>
                <w:szCs w:val="17"/>
                <w:lang w:val="en-US"/>
              </w:rPr>
              <w:t>Varchar</w:t>
            </w:r>
            <w:proofErr w:type="spellEnd"/>
            <w:r>
              <w:rPr>
                <w:rFonts w:cs="Arial"/>
                <w:sz w:val="17"/>
                <w:szCs w:val="17"/>
                <w:lang w:val="en-US"/>
              </w:rPr>
              <w:t>(100) – not null</w:t>
            </w:r>
          </w:p>
        </w:tc>
        <w:tc>
          <w:tcPr>
            <w:tcW w:w="3538" w:type="dxa"/>
          </w:tcPr>
          <w:p w:rsidR="00460A65" w:rsidRPr="00D80042" w:rsidRDefault="007A7205" w:rsidP="007A7205">
            <w:pPr>
              <w:rPr>
                <w:rFonts w:cs="Arial"/>
                <w:sz w:val="17"/>
                <w:szCs w:val="17"/>
                <w:lang w:val="en-US"/>
              </w:rPr>
            </w:pPr>
            <w:r>
              <w:rPr>
                <w:rFonts w:cs="Arial"/>
                <w:sz w:val="17"/>
                <w:szCs w:val="17"/>
                <w:lang w:val="en-US"/>
              </w:rPr>
              <w:t>A flag or Boolean to indicate if the record is the most current one (in relation of the effective date).</w:t>
            </w:r>
          </w:p>
        </w:tc>
        <w:tc>
          <w:tcPr>
            <w:tcW w:w="1990" w:type="dxa"/>
          </w:tcPr>
          <w:p w:rsidR="00460A65" w:rsidRPr="00D80042" w:rsidRDefault="007A7205" w:rsidP="004F2067">
            <w:pPr>
              <w:rPr>
                <w:rFonts w:cs="Arial"/>
                <w:sz w:val="17"/>
                <w:szCs w:val="17"/>
                <w:lang w:val="en-US"/>
              </w:rPr>
            </w:pPr>
            <w:r>
              <w:rPr>
                <w:rFonts w:cs="Arial"/>
                <w:sz w:val="17"/>
                <w:szCs w:val="17"/>
                <w:lang w:val="en-US"/>
              </w:rPr>
              <w:t>OMD Current Record Indicator</w:t>
            </w:r>
          </w:p>
        </w:tc>
      </w:tr>
      <w:tr w:rsidR="00460A65" w:rsidRPr="00D45FA4" w:rsidTr="007A7205">
        <w:tc>
          <w:tcPr>
            <w:tcW w:w="2269" w:type="dxa"/>
          </w:tcPr>
          <w:p w:rsidR="00460A65" w:rsidRPr="00D80042" w:rsidRDefault="007A7205" w:rsidP="00A90F4A">
            <w:pPr>
              <w:rPr>
                <w:rFonts w:cs="Arial"/>
                <w:sz w:val="17"/>
                <w:szCs w:val="17"/>
                <w:lang w:val="en-US"/>
              </w:rPr>
            </w:pPr>
            <w:r>
              <w:rPr>
                <w:rFonts w:cs="Arial"/>
                <w:sz w:val="17"/>
                <w:szCs w:val="17"/>
                <w:lang w:val="en-US"/>
              </w:rPr>
              <w:t>Change Date/Time</w:t>
            </w:r>
          </w:p>
        </w:tc>
        <w:tc>
          <w:tcPr>
            <w:tcW w:w="1275" w:type="dxa"/>
          </w:tcPr>
          <w:p w:rsidR="00460A65" w:rsidRPr="00D80042" w:rsidRDefault="007A7205" w:rsidP="00A90F4A">
            <w:pPr>
              <w:rPr>
                <w:rFonts w:cs="Arial"/>
                <w:sz w:val="17"/>
                <w:szCs w:val="17"/>
                <w:lang w:val="en-US"/>
              </w:rPr>
            </w:pPr>
            <w:r>
              <w:rPr>
                <w:rFonts w:cs="Arial"/>
                <w:sz w:val="17"/>
                <w:szCs w:val="17"/>
                <w:lang w:val="en-US"/>
              </w:rPr>
              <w:t>Optional</w:t>
            </w:r>
          </w:p>
        </w:tc>
        <w:tc>
          <w:tcPr>
            <w:tcW w:w="1418" w:type="dxa"/>
          </w:tcPr>
          <w:p w:rsidR="00460A65" w:rsidRPr="00D80042" w:rsidRDefault="007A7205" w:rsidP="007A7205">
            <w:pPr>
              <w:rPr>
                <w:rFonts w:cs="Arial"/>
                <w:sz w:val="17"/>
                <w:szCs w:val="17"/>
                <w:lang w:val="en-US"/>
              </w:rPr>
            </w:pPr>
            <w:r>
              <w:rPr>
                <w:rFonts w:cs="Arial"/>
                <w:sz w:val="17"/>
                <w:szCs w:val="17"/>
                <w:lang w:val="en-US"/>
              </w:rPr>
              <w:t xml:space="preserve">High precision date/time – </w:t>
            </w:r>
            <w:proofErr w:type="spellStart"/>
            <w:r>
              <w:rPr>
                <w:rFonts w:cs="Arial"/>
                <w:sz w:val="17"/>
                <w:szCs w:val="17"/>
                <w:lang w:val="en-US"/>
              </w:rPr>
              <w:t>nullable</w:t>
            </w:r>
            <w:proofErr w:type="spellEnd"/>
          </w:p>
        </w:tc>
        <w:tc>
          <w:tcPr>
            <w:tcW w:w="3538" w:type="dxa"/>
          </w:tcPr>
          <w:p w:rsidR="00460A65" w:rsidRPr="00D80042" w:rsidRDefault="007A7205" w:rsidP="00A90F4A">
            <w:pPr>
              <w:rPr>
                <w:rFonts w:cs="Arial"/>
                <w:sz w:val="17"/>
                <w:szCs w:val="17"/>
                <w:lang w:val="en-US"/>
              </w:rPr>
            </w:pPr>
            <w:r>
              <w:rPr>
                <w:rFonts w:cs="Arial"/>
                <w:sz w:val="17"/>
                <w:szCs w:val="17"/>
                <w:lang w:val="en-US"/>
              </w:rPr>
              <w:t xml:space="preserve">A derived date/time field to standardize the main business effective date/time for more </w:t>
            </w:r>
            <w:proofErr w:type="spellStart"/>
            <w:r>
              <w:rPr>
                <w:rFonts w:cs="Arial"/>
                <w:sz w:val="17"/>
                <w:szCs w:val="17"/>
                <w:lang w:val="en-US"/>
              </w:rPr>
              <w:t>harmonised</w:t>
            </w:r>
            <w:proofErr w:type="spellEnd"/>
            <w:r>
              <w:rPr>
                <w:rFonts w:cs="Arial"/>
                <w:sz w:val="17"/>
                <w:szCs w:val="17"/>
                <w:lang w:val="en-US"/>
              </w:rPr>
              <w:t xml:space="preserve"> upstream processing.</w:t>
            </w:r>
          </w:p>
        </w:tc>
        <w:tc>
          <w:tcPr>
            <w:tcW w:w="1990" w:type="dxa"/>
          </w:tcPr>
          <w:p w:rsidR="00460A65" w:rsidRPr="00D80042" w:rsidRDefault="007A7205" w:rsidP="00A90F4A">
            <w:pPr>
              <w:rPr>
                <w:rFonts w:cs="Arial"/>
                <w:sz w:val="17"/>
                <w:szCs w:val="17"/>
                <w:lang w:val="en-US"/>
              </w:rPr>
            </w:pPr>
            <w:r>
              <w:rPr>
                <w:rFonts w:cs="Arial"/>
                <w:sz w:val="17"/>
                <w:szCs w:val="17"/>
                <w:lang w:val="en-US"/>
              </w:rPr>
              <w:t xml:space="preserve">OMD Change </w:t>
            </w:r>
            <w:proofErr w:type="spellStart"/>
            <w:r>
              <w:rPr>
                <w:rFonts w:cs="Arial"/>
                <w:sz w:val="17"/>
                <w:szCs w:val="17"/>
                <w:lang w:val="en-US"/>
              </w:rPr>
              <w:t>Datetime</w:t>
            </w:r>
            <w:proofErr w:type="spellEnd"/>
          </w:p>
        </w:tc>
      </w:tr>
      <w:tr w:rsidR="007A7205" w:rsidRPr="00D45FA4" w:rsidTr="007A7205">
        <w:tc>
          <w:tcPr>
            <w:tcW w:w="2269" w:type="dxa"/>
          </w:tcPr>
          <w:p w:rsidR="007A7205" w:rsidRDefault="007A7205" w:rsidP="00A90F4A">
            <w:pPr>
              <w:rPr>
                <w:rFonts w:cs="Arial"/>
                <w:sz w:val="17"/>
                <w:szCs w:val="17"/>
                <w:lang w:val="en-US"/>
              </w:rPr>
            </w:pPr>
            <w:r>
              <w:rPr>
                <w:rFonts w:cs="Arial"/>
                <w:sz w:val="17"/>
                <w:szCs w:val="17"/>
                <w:lang w:val="en-US"/>
              </w:rPr>
              <w:t>&lt;source attributes&gt;</w:t>
            </w:r>
          </w:p>
        </w:tc>
        <w:tc>
          <w:tcPr>
            <w:tcW w:w="1275" w:type="dxa"/>
          </w:tcPr>
          <w:p w:rsidR="007A7205" w:rsidRDefault="007A7205" w:rsidP="00A90F4A">
            <w:pPr>
              <w:rPr>
                <w:rFonts w:cs="Arial"/>
                <w:sz w:val="17"/>
                <w:szCs w:val="17"/>
                <w:lang w:val="en-US"/>
              </w:rPr>
            </w:pPr>
            <w:r>
              <w:rPr>
                <w:rFonts w:cs="Arial"/>
                <w:sz w:val="17"/>
                <w:szCs w:val="17"/>
                <w:lang w:val="en-US"/>
              </w:rPr>
              <w:t>Required</w:t>
            </w:r>
          </w:p>
        </w:tc>
        <w:tc>
          <w:tcPr>
            <w:tcW w:w="1418" w:type="dxa"/>
          </w:tcPr>
          <w:p w:rsidR="007A7205" w:rsidRDefault="007A7205" w:rsidP="007A7205">
            <w:pPr>
              <w:rPr>
                <w:rFonts w:cs="Arial"/>
                <w:sz w:val="17"/>
                <w:szCs w:val="17"/>
                <w:lang w:val="en-US"/>
              </w:rPr>
            </w:pPr>
            <w:r>
              <w:rPr>
                <w:rFonts w:cs="Arial"/>
                <w:sz w:val="17"/>
                <w:szCs w:val="17"/>
                <w:lang w:val="en-US"/>
              </w:rPr>
              <w:t xml:space="preserve">According to data type  conversion table - </w:t>
            </w:r>
            <w:proofErr w:type="spellStart"/>
            <w:r>
              <w:rPr>
                <w:rFonts w:cs="Arial"/>
                <w:sz w:val="17"/>
                <w:szCs w:val="17"/>
                <w:lang w:val="en-US"/>
              </w:rPr>
              <w:t>nullable</w:t>
            </w:r>
            <w:proofErr w:type="spellEnd"/>
          </w:p>
        </w:tc>
        <w:tc>
          <w:tcPr>
            <w:tcW w:w="3538" w:type="dxa"/>
          </w:tcPr>
          <w:p w:rsidR="007A7205" w:rsidRDefault="007A7205" w:rsidP="00A90F4A">
            <w:pPr>
              <w:rPr>
                <w:rFonts w:cs="Arial"/>
                <w:sz w:val="17"/>
                <w:szCs w:val="17"/>
                <w:lang w:val="en-US"/>
              </w:rPr>
            </w:pPr>
            <w:r>
              <w:rPr>
                <w:rFonts w:cs="Arial"/>
                <w:sz w:val="17"/>
                <w:szCs w:val="17"/>
                <w:lang w:val="en-US"/>
              </w:rPr>
              <w:t xml:space="preserve">The source attributes as available. Note that if a primary hash key is not used the natural key (source primary key) needs to be set to NOT NULL. All other attributes are </w:t>
            </w:r>
            <w:proofErr w:type="spellStart"/>
            <w:r>
              <w:rPr>
                <w:rFonts w:cs="Arial"/>
                <w:sz w:val="17"/>
                <w:szCs w:val="17"/>
                <w:lang w:val="en-US"/>
              </w:rPr>
              <w:t>nullable</w:t>
            </w:r>
            <w:proofErr w:type="spellEnd"/>
            <w:r>
              <w:rPr>
                <w:rFonts w:cs="Arial"/>
                <w:sz w:val="17"/>
                <w:szCs w:val="17"/>
                <w:lang w:val="en-US"/>
              </w:rPr>
              <w:t>.</w:t>
            </w:r>
          </w:p>
        </w:tc>
        <w:tc>
          <w:tcPr>
            <w:tcW w:w="1990" w:type="dxa"/>
          </w:tcPr>
          <w:p w:rsidR="007A7205" w:rsidRDefault="007A7205" w:rsidP="00A90F4A">
            <w:pPr>
              <w:rPr>
                <w:rFonts w:cs="Arial"/>
                <w:sz w:val="17"/>
                <w:szCs w:val="17"/>
                <w:lang w:val="en-US"/>
              </w:rPr>
            </w:pPr>
            <w:r>
              <w:rPr>
                <w:rFonts w:cs="Arial"/>
                <w:sz w:val="17"/>
                <w:szCs w:val="17"/>
                <w:lang w:val="en-US"/>
              </w:rPr>
              <w:t>N/A</w:t>
            </w:r>
          </w:p>
        </w:tc>
      </w:tr>
    </w:tbl>
    <w:p w:rsidR="004F2067" w:rsidRDefault="004F2067" w:rsidP="004F2067">
      <w:pPr>
        <w:rPr>
          <w:rFonts w:ascii="Cambria" w:hAnsi="Cambria"/>
          <w:sz w:val="24"/>
        </w:rPr>
      </w:pPr>
    </w:p>
    <w:p w:rsidR="004F2067" w:rsidRPr="00565878" w:rsidRDefault="004F2067" w:rsidP="004F2067">
      <w:pPr>
        <w:jc w:val="both"/>
        <w:rPr>
          <w:lang w:val="en-GB"/>
        </w:rPr>
      </w:pPr>
      <w:r w:rsidRPr="00565878">
        <w:rPr>
          <w:lang w:val="en-GB"/>
        </w:rPr>
        <w:t xml:space="preserve">The ETL process from the Staging Area to the </w:t>
      </w:r>
      <w:r w:rsidR="007A7205">
        <w:rPr>
          <w:lang w:val="en-GB"/>
        </w:rPr>
        <w:t>PSA</w:t>
      </w:r>
      <w:r w:rsidRPr="00565878">
        <w:rPr>
          <w:lang w:val="en-GB"/>
        </w:rPr>
        <w:t xml:space="preserve"> checks the data based on the source key and the date/time information and compares all the attribute values. This can result in the following actions:</w:t>
      </w:r>
    </w:p>
    <w:p w:rsidR="004F2067" w:rsidRPr="00565878" w:rsidRDefault="004F2067" w:rsidP="00565878">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No history record is found: insert a new record in the history table</w:t>
      </w:r>
      <w:r w:rsidR="00B80FB0">
        <w:rPr>
          <w:rFonts w:ascii="Arial" w:hAnsi="Arial" w:cs="Arial"/>
          <w:sz w:val="19"/>
          <w:szCs w:val="19"/>
        </w:rPr>
        <w:t>.</w:t>
      </w:r>
    </w:p>
    <w:p w:rsidR="004F2067" w:rsidRPr="00565878" w:rsidRDefault="004F2067" w:rsidP="00565878">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 xml:space="preserve">A record is found and the source attribute values are different from the history attribute values: </w:t>
      </w:r>
      <w:r w:rsidR="00B80FB0">
        <w:rPr>
          <w:rFonts w:ascii="Arial" w:hAnsi="Arial" w:cs="Arial"/>
          <w:sz w:val="19"/>
          <w:szCs w:val="19"/>
        </w:rPr>
        <w:t>insert a new record. Update current row indicators if adopted.</w:t>
      </w:r>
    </w:p>
    <w:p w:rsidR="004F2067" w:rsidRPr="00565878" w:rsidRDefault="004F2067" w:rsidP="00565878">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A record is found but there are no changes found in the attribute comparison: ignore</w:t>
      </w:r>
      <w:r w:rsidR="00B80FB0">
        <w:rPr>
          <w:rFonts w:ascii="Arial" w:hAnsi="Arial" w:cs="Arial"/>
          <w:sz w:val="19"/>
          <w:szCs w:val="19"/>
        </w:rPr>
        <w:t>.</w:t>
      </w:r>
    </w:p>
    <w:p w:rsidR="00B80FB0" w:rsidRDefault="004F2067" w:rsidP="007A7205">
      <w:pPr>
        <w:jc w:val="both"/>
        <w:rPr>
          <w:lang w:val="en-GB"/>
        </w:rPr>
      </w:pPr>
      <w:r w:rsidRPr="00565878">
        <w:rPr>
          <w:lang w:val="en-GB"/>
        </w:rPr>
        <w:t xml:space="preserve">Note: there are other suitable approaches towards a </w:t>
      </w:r>
      <w:r w:rsidR="00B80FB0">
        <w:rPr>
          <w:lang w:val="en-GB"/>
        </w:rPr>
        <w:t>PSA</w:t>
      </w:r>
      <w:r w:rsidRPr="00565878">
        <w:rPr>
          <w:lang w:val="en-GB"/>
        </w:rPr>
        <w:t xml:space="preserve">. Depending on the requirements there can also be opted for a snapshot </w:t>
      </w:r>
      <w:r w:rsidR="00B80FB0">
        <w:rPr>
          <w:lang w:val="en-GB"/>
        </w:rPr>
        <w:t>PSA</w:t>
      </w:r>
      <w:r w:rsidRPr="00565878">
        <w:rPr>
          <w:lang w:val="en-GB"/>
        </w:rPr>
        <w:t xml:space="preserve"> where every run inserts a new record (instance) of the source data. This creates a more redundant dataset but arguably makes reloading data to the Integration Layer easier.</w:t>
      </w:r>
      <w:bookmarkStart w:id="28" w:name="_Toc383657301"/>
    </w:p>
    <w:p w:rsidR="00B80FB0" w:rsidRDefault="00B80FB0" w:rsidP="007A7205">
      <w:pPr>
        <w:jc w:val="both"/>
        <w:rPr>
          <w:lang w:val="en-GB"/>
        </w:rPr>
      </w:pPr>
    </w:p>
    <w:p w:rsidR="00332CAF" w:rsidRPr="00B80FB0" w:rsidRDefault="00B80FB0" w:rsidP="007A7205">
      <w:pPr>
        <w:jc w:val="both"/>
        <w:rPr>
          <w:lang w:val="en-GB"/>
        </w:rPr>
      </w:pPr>
      <w:r>
        <w:rPr>
          <w:lang w:val="en-GB"/>
        </w:rPr>
        <w:t>When loading data delta directly into the PSA (i.e. the Staging Area is not adopted) the same rules apply as for the Staging Area.</w:t>
      </w:r>
      <w:r w:rsidR="00332CAF">
        <w:br w:type="page"/>
      </w:r>
    </w:p>
    <w:p w:rsidR="004F2067" w:rsidRDefault="00FA4F2A" w:rsidP="004F2067">
      <w:pPr>
        <w:pStyle w:val="NoHeading2"/>
      </w:pPr>
      <w:bookmarkStart w:id="29" w:name="_Toc502672595"/>
      <w:r>
        <w:lastRenderedPageBreak/>
        <w:t>Persistent Staging</w:t>
      </w:r>
      <w:r w:rsidR="004F2067">
        <w:t xml:space="preserve"> Area development guidelines</w:t>
      </w:r>
      <w:bookmarkEnd w:id="28"/>
      <w:bookmarkEnd w:id="29"/>
    </w:p>
    <w:p w:rsidR="004F2067" w:rsidRPr="00565878" w:rsidRDefault="004F2067" w:rsidP="004F2067">
      <w:pPr>
        <w:jc w:val="both"/>
        <w:rPr>
          <w:lang w:val="en-GB"/>
        </w:rPr>
      </w:pPr>
      <w:r w:rsidRPr="00565878">
        <w:rPr>
          <w:lang w:val="en-GB"/>
        </w:rPr>
        <w:t xml:space="preserve">The following is a list of development conventions for the </w:t>
      </w:r>
      <w:r w:rsidR="00FA4F2A">
        <w:rPr>
          <w:lang w:val="en-GB"/>
        </w:rPr>
        <w:t>Persistent Staging Area (PSA)</w:t>
      </w:r>
      <w:r w:rsidRPr="00565878">
        <w:rPr>
          <w:lang w:val="en-GB"/>
        </w:rPr>
        <w:t>:</w:t>
      </w:r>
    </w:p>
    <w:p w:rsidR="004F2067" w:rsidRPr="00565878" w:rsidRDefault="00FA4F2A" w:rsidP="00565878">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When loading the PSA from the Staging Area, a</w:t>
      </w:r>
      <w:r w:rsidRPr="00565878">
        <w:rPr>
          <w:rFonts w:ascii="Arial" w:hAnsi="Arial" w:cs="Arial"/>
          <w:sz w:val="19"/>
          <w:szCs w:val="19"/>
        </w:rPr>
        <w:t>lways</w:t>
      </w:r>
      <w:r w:rsidR="004F2067" w:rsidRPr="00565878">
        <w:rPr>
          <w:rFonts w:ascii="Arial" w:hAnsi="Arial" w:cs="Arial"/>
          <w:sz w:val="19"/>
          <w:szCs w:val="19"/>
        </w:rPr>
        <w:t xml:space="preserve"> start a </w:t>
      </w:r>
      <w:r>
        <w:rPr>
          <w:rFonts w:ascii="Arial" w:hAnsi="Arial" w:cs="Arial"/>
          <w:sz w:val="19"/>
          <w:szCs w:val="19"/>
        </w:rPr>
        <w:t>PSA</w:t>
      </w:r>
      <w:r w:rsidR="004F2067" w:rsidRPr="00565878">
        <w:rPr>
          <w:rFonts w:ascii="Arial" w:hAnsi="Arial" w:cs="Arial"/>
          <w:sz w:val="19"/>
          <w:szCs w:val="19"/>
        </w:rPr>
        <w:t xml:space="preserve"> ETL process as soon as the Staging Area is finished to ensure that there are no ‘gaps’ in the history. Since the Staging Area has the ‘truncate/insert’ load strategy, </w:t>
      </w:r>
      <w:r>
        <w:rPr>
          <w:rFonts w:ascii="Arial" w:hAnsi="Arial" w:cs="Arial"/>
          <w:sz w:val="19"/>
          <w:szCs w:val="19"/>
        </w:rPr>
        <w:t>PSA</w:t>
      </w:r>
      <w:r w:rsidR="004F2067" w:rsidRPr="00565878">
        <w:rPr>
          <w:rFonts w:ascii="Arial" w:hAnsi="Arial" w:cs="Arial"/>
          <w:sz w:val="19"/>
          <w:szCs w:val="19"/>
        </w:rPr>
        <w:t xml:space="preserve"> data has to be processed before the next Staging Area run. During normal loads, the Integration Area has no dependency on the History Area and loading into history and integration can be done in parallel if the Data Warehouse has capacity for concurrent jobs. This is handled by the </w:t>
      </w:r>
      <w:r>
        <w:rPr>
          <w:rFonts w:ascii="Arial" w:hAnsi="Arial" w:cs="Arial"/>
          <w:sz w:val="19"/>
          <w:szCs w:val="19"/>
        </w:rPr>
        <w:t>‘</w:t>
      </w:r>
      <w:r w:rsidR="004F2067" w:rsidRPr="00565878">
        <w:rPr>
          <w:rFonts w:ascii="Arial" w:hAnsi="Arial" w:cs="Arial"/>
          <w:sz w:val="19"/>
          <w:szCs w:val="19"/>
        </w:rPr>
        <w:t>Batch</w:t>
      </w:r>
      <w:r>
        <w:rPr>
          <w:rFonts w:ascii="Arial" w:hAnsi="Arial" w:cs="Arial"/>
          <w:sz w:val="19"/>
          <w:szCs w:val="19"/>
        </w:rPr>
        <w:t>’</w:t>
      </w:r>
      <w:r w:rsidR="004F2067" w:rsidRPr="00565878">
        <w:rPr>
          <w:rFonts w:ascii="Arial" w:hAnsi="Arial" w:cs="Arial"/>
          <w:sz w:val="19"/>
          <w:szCs w:val="19"/>
        </w:rPr>
        <w:t xml:space="preserve"> concept which guarantees the unit of work; e.g. making sure all data delta has been processed</w:t>
      </w:r>
    </w:p>
    <w:p w:rsidR="004F2067" w:rsidRPr="00565878" w:rsidRDefault="004F2067" w:rsidP="00565878">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 xml:space="preserve">If the ETL platform supports it, prefix the </w:t>
      </w:r>
      <w:r w:rsidR="00460A65">
        <w:rPr>
          <w:rFonts w:ascii="Arial" w:hAnsi="Arial" w:cs="Arial"/>
          <w:sz w:val="19"/>
          <w:szCs w:val="19"/>
        </w:rPr>
        <w:t xml:space="preserve">‘schema’, </w:t>
      </w:r>
      <w:r w:rsidRPr="00565878">
        <w:rPr>
          <w:rFonts w:ascii="Arial" w:hAnsi="Arial" w:cs="Arial"/>
          <w:sz w:val="19"/>
          <w:szCs w:val="19"/>
        </w:rPr>
        <w:t xml:space="preserve">‘area’ or ‘folder’ in the </w:t>
      </w:r>
      <w:r w:rsidR="00460A65">
        <w:rPr>
          <w:rFonts w:ascii="Arial" w:hAnsi="Arial" w:cs="Arial"/>
          <w:sz w:val="19"/>
          <w:szCs w:val="19"/>
        </w:rPr>
        <w:t xml:space="preserve">RDBMS and </w:t>
      </w:r>
      <w:r w:rsidRPr="00565878">
        <w:rPr>
          <w:rFonts w:ascii="Arial" w:hAnsi="Arial" w:cs="Arial"/>
          <w:sz w:val="19"/>
          <w:szCs w:val="19"/>
        </w:rPr>
        <w:t xml:space="preserve">ETL software with ‘150_’. The </w:t>
      </w:r>
      <w:r w:rsidR="00460A65">
        <w:rPr>
          <w:rFonts w:ascii="Arial" w:hAnsi="Arial" w:cs="Arial"/>
          <w:sz w:val="19"/>
          <w:szCs w:val="19"/>
        </w:rPr>
        <w:t>PSA</w:t>
      </w:r>
      <w:r w:rsidRPr="00565878">
        <w:rPr>
          <w:rFonts w:ascii="Arial" w:hAnsi="Arial" w:cs="Arial"/>
          <w:sz w:val="19"/>
          <w:szCs w:val="19"/>
        </w:rPr>
        <w:t xml:space="preserve"> is part of the first layer in the architecture</w:t>
      </w:r>
      <w:r w:rsidR="00460A65">
        <w:rPr>
          <w:rFonts w:ascii="Arial" w:hAnsi="Arial" w:cs="Arial"/>
          <w:sz w:val="19"/>
          <w:szCs w:val="19"/>
        </w:rPr>
        <w:t>,</w:t>
      </w:r>
      <w:r w:rsidRPr="00565878">
        <w:rPr>
          <w:rFonts w:ascii="Arial" w:hAnsi="Arial" w:cs="Arial"/>
          <w:sz w:val="19"/>
          <w:szCs w:val="19"/>
        </w:rPr>
        <w:t xml:space="preserve"> but is updated after the Staging Area</w:t>
      </w:r>
      <w:r w:rsidR="00460A65">
        <w:rPr>
          <w:rFonts w:ascii="Arial" w:hAnsi="Arial" w:cs="Arial"/>
          <w:sz w:val="19"/>
          <w:szCs w:val="19"/>
        </w:rPr>
        <w:t xml:space="preserve"> (if adopted)</w:t>
      </w:r>
      <w:r w:rsidRPr="00565878">
        <w:rPr>
          <w:rFonts w:ascii="Arial" w:hAnsi="Arial" w:cs="Arial"/>
          <w:sz w:val="19"/>
          <w:szCs w:val="19"/>
        </w:rPr>
        <w:t>. This forces most ETL tools to sort the folders in the way the architecture handles the data</w:t>
      </w:r>
    </w:p>
    <w:p w:rsidR="004F2067" w:rsidRPr="00565878" w:rsidRDefault="004F2067" w:rsidP="00565878">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Everything is copied as</w:t>
      </w:r>
      <w:r w:rsidR="00460A65">
        <w:rPr>
          <w:rFonts w:ascii="Arial" w:hAnsi="Arial" w:cs="Arial"/>
          <w:sz w:val="19"/>
          <w:szCs w:val="19"/>
        </w:rPr>
        <w:t>-is, no transformations are done.</w:t>
      </w:r>
    </w:p>
    <w:p w:rsidR="000E02E9" w:rsidRDefault="004F2067" w:rsidP="00D20996">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65878">
        <w:rPr>
          <w:rFonts w:ascii="Arial" w:hAnsi="Arial" w:cs="Arial"/>
          <w:sz w:val="19"/>
          <w:szCs w:val="19"/>
        </w:rPr>
        <w:t xml:space="preserve">There is no requirement for error handling in </w:t>
      </w:r>
      <w:r w:rsidR="00460A65">
        <w:rPr>
          <w:rFonts w:ascii="Arial" w:hAnsi="Arial" w:cs="Arial"/>
          <w:sz w:val="19"/>
          <w:szCs w:val="19"/>
        </w:rPr>
        <w:t>PSA</w:t>
      </w:r>
      <w:r w:rsidRPr="00565878">
        <w:rPr>
          <w:rFonts w:ascii="Arial" w:hAnsi="Arial" w:cs="Arial"/>
          <w:sz w:val="19"/>
          <w:szCs w:val="19"/>
        </w:rPr>
        <w:t xml:space="preserve"> ETL</w:t>
      </w:r>
      <w:bookmarkEnd w:id="1"/>
      <w:bookmarkEnd w:id="4"/>
      <w:r w:rsidR="00460A65">
        <w:rPr>
          <w:rFonts w:ascii="Arial" w:hAnsi="Arial" w:cs="Arial"/>
          <w:sz w:val="19"/>
          <w:szCs w:val="19"/>
        </w:rPr>
        <w:t>.</w:t>
      </w:r>
    </w:p>
    <w:p w:rsidR="00460A65" w:rsidRPr="00565878" w:rsidRDefault="00460A65" w:rsidP="00D20996">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When using files, changes in file formats (schema) over time can be handled in separate file mask metadata versions.</w:t>
      </w:r>
    </w:p>
    <w:sectPr w:rsidR="00460A65" w:rsidRPr="00565878" w:rsidSect="008E12C0">
      <w:headerReference w:type="even" r:id="rId11"/>
      <w:headerReference w:type="default" r:id="rId12"/>
      <w:footerReference w:type="even" r:id="rId13"/>
      <w:footerReference w:type="default" r:id="rId14"/>
      <w:headerReference w:type="first" r:id="rId15"/>
      <w:footerReference w:type="first" r:id="rId16"/>
      <w:pgSz w:w="11906" w:h="16838" w:code="9"/>
      <w:pgMar w:top="1135" w:right="1474" w:bottom="1191" w:left="147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F2A" w:rsidRDefault="00FA4F2A" w:rsidP="00C63C96">
      <w:r>
        <w:separator/>
      </w:r>
    </w:p>
  </w:endnote>
  <w:endnote w:type="continuationSeparator" w:id="0">
    <w:p w:rsidR="00FA4F2A" w:rsidRDefault="00FA4F2A" w:rsidP="00C6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lianz Sans">
    <w:altName w:val="Arial Narrow"/>
    <w:panose1 w:val="00000000000000000000"/>
    <w:charset w:val="00"/>
    <w:family w:val="modern"/>
    <w:notTrueType/>
    <w:pitch w:val="variable"/>
    <w:sig w:usb0="00000001" w:usb1="5000E96A"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F2A" w:rsidRDefault="00FA4F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F2A" w:rsidRDefault="00C06907" w:rsidP="00FE48B5">
    <w:pPr>
      <w:pStyle w:val="Footer"/>
      <w:jc w:val="left"/>
    </w:pPr>
    <w:r>
      <w:fldChar w:fldCharType="begin"/>
    </w:r>
    <w:r>
      <w:instrText xml:space="preserve"> TITLE  "AGA - ETL Framework"  \* MERGEFORMAT </w:instrText>
    </w:r>
    <w:r>
      <w:fldChar w:fldCharType="separate"/>
    </w:r>
    <w:r>
      <w:fldChar w:fldCharType="end"/>
    </w:r>
    <w:r w:rsidR="00FA4F2A">
      <w:rPr>
        <w:color w:val="auto"/>
      </w:rPr>
      <w:tab/>
    </w:r>
    <w:r w:rsidR="00FA4F2A">
      <w:rPr>
        <w:color w:val="auto"/>
      </w:rPr>
      <w:tab/>
    </w:r>
    <w:r w:rsidR="00FA4F2A">
      <w:rPr>
        <w:color w:val="auto"/>
      </w:rPr>
      <w:tab/>
    </w:r>
    <w:r w:rsidR="00FA4F2A">
      <w:rPr>
        <w:color w:val="auto"/>
      </w:rPr>
      <w:tab/>
    </w:r>
    <w:r w:rsidR="00FA4F2A">
      <w:rPr>
        <w:color w:val="auto"/>
      </w:rPr>
      <w:tab/>
    </w:r>
    <w:r w:rsidR="00FA4F2A">
      <w:rPr>
        <w:color w:val="auto"/>
      </w:rPr>
      <w:tab/>
    </w:r>
    <w:r w:rsidR="00FA4F2A">
      <w:rPr>
        <w:color w:val="auto"/>
      </w:rPr>
      <w:tab/>
    </w:r>
    <w:r w:rsidR="00FA4F2A">
      <w:rPr>
        <w:color w:val="auto"/>
      </w:rPr>
      <w:tab/>
    </w:r>
  </w:p>
  <w:p w:rsidR="00FA4F2A" w:rsidRDefault="00FA4F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F2A" w:rsidRDefault="00FA4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F2A" w:rsidRDefault="00FA4F2A" w:rsidP="00C63C96">
      <w:r>
        <w:separator/>
      </w:r>
    </w:p>
  </w:footnote>
  <w:footnote w:type="continuationSeparator" w:id="0">
    <w:p w:rsidR="00FA4F2A" w:rsidRDefault="00FA4F2A" w:rsidP="00C63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F2A" w:rsidRDefault="00FA4F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F2A" w:rsidRDefault="00FA4F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F2A" w:rsidRDefault="00FA4F2A" w:rsidP="00391875">
    <w:pPr>
      <w:pStyle w:val="Header"/>
      <w:jc w:val="right"/>
    </w:pPr>
    <w:r>
      <w:rPr>
        <w:noProof/>
      </w:rPr>
      <w:drawing>
        <wp:anchor distT="0" distB="0" distL="114300" distR="114300" simplePos="0" relativeHeight="251658752" behindDoc="0" locked="0" layoutInCell="1" allowOverlap="1" wp14:anchorId="7A882729" wp14:editId="54535ABC">
          <wp:simplePos x="0" y="0"/>
          <wp:positionH relativeFrom="column">
            <wp:posOffset>12081510</wp:posOffset>
          </wp:positionH>
          <wp:positionV relativeFrom="paragraph">
            <wp:posOffset>-140335</wp:posOffset>
          </wp:positionV>
          <wp:extent cx="1504950" cy="933450"/>
          <wp:effectExtent l="0" t="0" r="0" b="0"/>
          <wp:wrapNone/>
          <wp:docPr id="5" name="Picture 1" descr="Logo AGA 9U 02-2011 RGB_vekt_me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GA 9U 02-2011 RGB_vekt_me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214FDB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E5C8C4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65E15F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B1C8486"/>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EB9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B1C176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B3465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B7E262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00F327C9"/>
    <w:multiLevelType w:val="multilevel"/>
    <w:tmpl w:val="B2388C34"/>
    <w:lvl w:ilvl="0">
      <w:start w:val="1"/>
      <w:numFmt w:val="bullet"/>
      <w:pStyle w:val="TableBullet"/>
      <w:lvlText w:val=""/>
      <w:lvlJc w:val="left"/>
      <w:pPr>
        <w:tabs>
          <w:tab w:val="num" w:pos="227"/>
        </w:tabs>
        <w:ind w:left="227" w:hanging="227"/>
      </w:pPr>
      <w:rPr>
        <w:rFonts w:ascii="Symbol" w:hAnsi="Symbol" w:hint="default"/>
        <w:color w:val="auto"/>
        <w:sz w:val="17"/>
      </w:rPr>
    </w:lvl>
    <w:lvl w:ilvl="1">
      <w:start w:val="1"/>
      <w:numFmt w:val="bullet"/>
      <w:lvlText w:val="–"/>
      <w:lvlJc w:val="left"/>
      <w:pPr>
        <w:tabs>
          <w:tab w:val="num" w:pos="454"/>
        </w:tabs>
        <w:ind w:left="454" w:hanging="227"/>
      </w:pPr>
      <w:rPr>
        <w:rFonts w:hint="default"/>
        <w:color w:val="auto"/>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2081775"/>
    <w:multiLevelType w:val="hybridMultilevel"/>
    <w:tmpl w:val="128A9EAA"/>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0">
    <w:nsid w:val="04393CCF"/>
    <w:multiLevelType w:val="multilevel"/>
    <w:tmpl w:val="7D7464E4"/>
    <w:lvl w:ilvl="0">
      <w:start w:val="1"/>
      <w:numFmt w:val="bullet"/>
      <w:pStyle w:val="ListBulletParagraph"/>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06854934"/>
    <w:multiLevelType w:val="hybridMultilevel"/>
    <w:tmpl w:val="028E6E68"/>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2">
    <w:nsid w:val="0CD617FB"/>
    <w:multiLevelType w:val="multilevel"/>
    <w:tmpl w:val="77AA4D02"/>
    <w:lvl w:ilvl="0">
      <w:start w:val="1"/>
      <w:numFmt w:val="decimal"/>
      <w:pStyle w:val="TableNumber"/>
      <w:lvlText w:val="%1."/>
      <w:lvlJc w:val="left"/>
      <w:pPr>
        <w:tabs>
          <w:tab w:val="num" w:pos="227"/>
        </w:tabs>
        <w:ind w:left="227" w:hanging="227"/>
      </w:pPr>
      <w:rPr>
        <w:rFonts w:hint="default"/>
        <w:sz w:val="17"/>
      </w:rPr>
    </w:lvl>
    <w:lvl w:ilvl="1">
      <w:start w:val="1"/>
      <w:numFmt w:val="lowerLetter"/>
      <w:lvlText w:val="%2."/>
      <w:lvlJc w:val="left"/>
      <w:pPr>
        <w:tabs>
          <w:tab w:val="num" w:pos="454"/>
        </w:tabs>
        <w:ind w:left="454" w:hanging="227"/>
      </w:pPr>
      <w:rPr>
        <w:rFonts w:hint="default"/>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0D2A39E5"/>
    <w:multiLevelType w:val="multilevel"/>
    <w:tmpl w:val="B5088B0C"/>
    <w:lvl w:ilvl="0">
      <w:start w:val="1"/>
      <w:numFmt w:val="decimal"/>
      <w:pStyle w:val="NoHeading1"/>
      <w:lvlText w:val="%1."/>
      <w:lvlJc w:val="left"/>
      <w:pPr>
        <w:tabs>
          <w:tab w:val="num" w:pos="567"/>
        </w:tabs>
        <w:ind w:left="567" w:hanging="567"/>
      </w:pPr>
      <w:rPr>
        <w:rFonts w:hint="default"/>
      </w:rPr>
    </w:lvl>
    <w:lvl w:ilvl="1">
      <w:start w:val="1"/>
      <w:numFmt w:val="decimal"/>
      <w:pStyle w:val="NoHeading2"/>
      <w:lvlText w:val="%1.%2"/>
      <w:lvlJc w:val="left"/>
      <w:pPr>
        <w:tabs>
          <w:tab w:val="num" w:pos="567"/>
        </w:tabs>
        <w:ind w:left="567" w:hanging="567"/>
      </w:pPr>
      <w:rPr>
        <w:rFonts w:hint="default"/>
      </w:rPr>
    </w:lvl>
    <w:lvl w:ilvl="2">
      <w:start w:val="1"/>
      <w:numFmt w:val="decimal"/>
      <w:pStyle w:val="NoHeading3"/>
      <w:lvlText w:val="%1.%2.%3"/>
      <w:lvlJc w:val="left"/>
      <w:pPr>
        <w:tabs>
          <w:tab w:val="num" w:pos="851"/>
        </w:tabs>
        <w:ind w:left="851" w:hanging="851"/>
      </w:pPr>
      <w:rPr>
        <w:rFonts w:hint="default"/>
      </w:rPr>
    </w:lvl>
    <w:lvl w:ilvl="3">
      <w:start w:val="1"/>
      <w:numFmt w:val="decimal"/>
      <w:pStyle w:val="NoHeading4"/>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abstractNum w:abstractNumId="14">
    <w:nsid w:val="0D580EC7"/>
    <w:multiLevelType w:val="multilevel"/>
    <w:tmpl w:val="7700A65E"/>
    <w:lvl w:ilvl="0">
      <w:start w:val="1"/>
      <w:numFmt w:val="bullet"/>
      <w:pStyle w:val="ListBullet"/>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126555E6"/>
    <w:multiLevelType w:val="hybridMultilevel"/>
    <w:tmpl w:val="508C9FCA"/>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704FCC"/>
    <w:multiLevelType w:val="hybridMultilevel"/>
    <w:tmpl w:val="30581C2A"/>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7">
    <w:nsid w:val="20F042A7"/>
    <w:multiLevelType w:val="hybridMultilevel"/>
    <w:tmpl w:val="7AE4F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4C00D3B"/>
    <w:multiLevelType w:val="multilevel"/>
    <w:tmpl w:val="6B5AF55A"/>
    <w:lvl w:ilvl="0">
      <w:start w:val="1"/>
      <w:numFmt w:val="decimal"/>
      <w:pStyle w:val="ListNumber"/>
      <w:lvlText w:val="%1."/>
      <w:lvlJc w:val="left"/>
      <w:pPr>
        <w:tabs>
          <w:tab w:val="num" w:pos="567"/>
        </w:tabs>
        <w:ind w:left="567" w:hanging="567"/>
      </w:pPr>
      <w:rPr>
        <w:rFonts w:hint="default"/>
        <w:color w:val="004984"/>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9">
    <w:nsid w:val="2EC14BE7"/>
    <w:multiLevelType w:val="hybridMultilevel"/>
    <w:tmpl w:val="4C7215A8"/>
    <w:lvl w:ilvl="0" w:tplc="0C09000B">
      <w:start w:val="1"/>
      <w:numFmt w:val="bullet"/>
      <w:lvlText w:val=""/>
      <w:lvlJc w:val="left"/>
      <w:pPr>
        <w:ind w:left="432" w:hanging="360"/>
      </w:pPr>
      <w:rPr>
        <w:rFonts w:ascii="Wingdings" w:hAnsi="Wingdings" w:hint="default"/>
      </w:rPr>
    </w:lvl>
    <w:lvl w:ilvl="1" w:tplc="0C090003">
      <w:start w:val="1"/>
      <w:numFmt w:val="bullet"/>
      <w:lvlText w:val="o"/>
      <w:lvlJc w:val="left"/>
      <w:pPr>
        <w:ind w:left="1152" w:hanging="360"/>
      </w:pPr>
      <w:rPr>
        <w:rFonts w:ascii="Courier New" w:hAnsi="Courier New" w:cs="Courier New" w:hint="default"/>
      </w:rPr>
    </w:lvl>
    <w:lvl w:ilvl="2" w:tplc="0C090005">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20">
    <w:nsid w:val="32761D7D"/>
    <w:multiLevelType w:val="hybridMultilevel"/>
    <w:tmpl w:val="E9DE7E12"/>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573495"/>
    <w:multiLevelType w:val="hybridMultilevel"/>
    <w:tmpl w:val="FF063FDA"/>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AA0346"/>
    <w:multiLevelType w:val="hybridMultilevel"/>
    <w:tmpl w:val="81F28718"/>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3">
    <w:nsid w:val="3CD02579"/>
    <w:multiLevelType w:val="hybridMultilevel"/>
    <w:tmpl w:val="73C6E07E"/>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4">
    <w:nsid w:val="422548E1"/>
    <w:multiLevelType w:val="hybridMultilevel"/>
    <w:tmpl w:val="2BA4A86E"/>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5">
    <w:nsid w:val="4350266F"/>
    <w:multiLevelType w:val="hybridMultilevel"/>
    <w:tmpl w:val="72C21B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6197B34"/>
    <w:multiLevelType w:val="hybridMultilevel"/>
    <w:tmpl w:val="B7DC262A"/>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7">
    <w:nsid w:val="4C5C26E3"/>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4FA8160C"/>
    <w:multiLevelType w:val="hybridMultilevel"/>
    <w:tmpl w:val="01A47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522533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0">
    <w:nsid w:val="57CC6B62"/>
    <w:multiLevelType w:val="multilevel"/>
    <w:tmpl w:val="4918AAB6"/>
    <w:styleLink w:val="1ai"/>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num w:numId="1">
    <w:abstractNumId w:val="29"/>
  </w:num>
  <w:num w:numId="2">
    <w:abstractNumId w:val="30"/>
  </w:num>
  <w:num w:numId="3">
    <w:abstractNumId w:val="27"/>
  </w:num>
  <w:num w:numId="4">
    <w:abstractNumId w:val="7"/>
  </w:num>
  <w:num w:numId="5">
    <w:abstractNumId w:val="6"/>
  </w:num>
  <w:num w:numId="6">
    <w:abstractNumId w:val="5"/>
  </w:num>
  <w:num w:numId="7">
    <w:abstractNumId w:val="4"/>
  </w:num>
  <w:num w:numId="8">
    <w:abstractNumId w:val="2"/>
  </w:num>
  <w:num w:numId="9">
    <w:abstractNumId w:val="1"/>
  </w:num>
  <w:num w:numId="10">
    <w:abstractNumId w:val="0"/>
  </w:num>
  <w:num w:numId="11">
    <w:abstractNumId w:val="14"/>
  </w:num>
  <w:num w:numId="12">
    <w:abstractNumId w:val="18"/>
  </w:num>
  <w:num w:numId="13">
    <w:abstractNumId w:val="3"/>
  </w:num>
  <w:num w:numId="14">
    <w:abstractNumId w:val="10"/>
  </w:num>
  <w:num w:numId="15">
    <w:abstractNumId w:val="8"/>
  </w:num>
  <w:num w:numId="16">
    <w:abstractNumId w:val="12"/>
  </w:num>
  <w:num w:numId="17">
    <w:abstractNumId w:val="13"/>
  </w:num>
  <w:num w:numId="18">
    <w:abstractNumId w:val="25"/>
  </w:num>
  <w:num w:numId="19">
    <w:abstractNumId w:val="19"/>
  </w:num>
  <w:num w:numId="20">
    <w:abstractNumId w:val="13"/>
  </w:num>
  <w:num w:numId="21">
    <w:abstractNumId w:val="21"/>
  </w:num>
  <w:num w:numId="22">
    <w:abstractNumId w:val="15"/>
  </w:num>
  <w:num w:numId="23">
    <w:abstractNumId w:val="20"/>
  </w:num>
  <w:num w:numId="24">
    <w:abstractNumId w:val="16"/>
  </w:num>
  <w:num w:numId="25">
    <w:abstractNumId w:val="22"/>
  </w:num>
  <w:num w:numId="26">
    <w:abstractNumId w:val="11"/>
  </w:num>
  <w:num w:numId="27">
    <w:abstractNumId w:val="26"/>
  </w:num>
  <w:num w:numId="28">
    <w:abstractNumId w:val="24"/>
  </w:num>
  <w:num w:numId="29">
    <w:abstractNumId w:val="23"/>
  </w:num>
  <w:num w:numId="30">
    <w:abstractNumId w:val="9"/>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num>
  <w:num w:numId="44">
    <w:abstractNumId w:val="17"/>
  </w:num>
  <w:num w:numId="45">
    <w:abstractNumId w:val="28"/>
  </w:num>
  <w:num w:numId="46">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95"/>
  <w:displayHorizontalDrawingGridEvery w:val="2"/>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34"/>
    <w:rsid w:val="00000C12"/>
    <w:rsid w:val="00010084"/>
    <w:rsid w:val="000264D7"/>
    <w:rsid w:val="0006557F"/>
    <w:rsid w:val="000763C3"/>
    <w:rsid w:val="00082E04"/>
    <w:rsid w:val="00083555"/>
    <w:rsid w:val="00093317"/>
    <w:rsid w:val="000956E5"/>
    <w:rsid w:val="00097C34"/>
    <w:rsid w:val="000A0E2B"/>
    <w:rsid w:val="000A3664"/>
    <w:rsid w:val="000A3907"/>
    <w:rsid w:val="000B2F0E"/>
    <w:rsid w:val="000B6C12"/>
    <w:rsid w:val="000E02E9"/>
    <w:rsid w:val="000F7FB2"/>
    <w:rsid w:val="001025A7"/>
    <w:rsid w:val="00105F4D"/>
    <w:rsid w:val="00106181"/>
    <w:rsid w:val="00123405"/>
    <w:rsid w:val="001364EC"/>
    <w:rsid w:val="001544C4"/>
    <w:rsid w:val="00155210"/>
    <w:rsid w:val="00174AB5"/>
    <w:rsid w:val="00176960"/>
    <w:rsid w:val="00184B5F"/>
    <w:rsid w:val="001878C5"/>
    <w:rsid w:val="001938F6"/>
    <w:rsid w:val="001B4656"/>
    <w:rsid w:val="001C0995"/>
    <w:rsid w:val="001C2241"/>
    <w:rsid w:val="001C56EB"/>
    <w:rsid w:val="001C6760"/>
    <w:rsid w:val="001D0AD9"/>
    <w:rsid w:val="001D3C7F"/>
    <w:rsid w:val="001F1EF6"/>
    <w:rsid w:val="001F1F48"/>
    <w:rsid w:val="00200D67"/>
    <w:rsid w:val="002119C7"/>
    <w:rsid w:val="00235A8C"/>
    <w:rsid w:val="0024330B"/>
    <w:rsid w:val="00245C9F"/>
    <w:rsid w:val="00250169"/>
    <w:rsid w:val="002644E0"/>
    <w:rsid w:val="00265CEE"/>
    <w:rsid w:val="0027095A"/>
    <w:rsid w:val="00275B3B"/>
    <w:rsid w:val="00277283"/>
    <w:rsid w:val="002A085B"/>
    <w:rsid w:val="002B1ED2"/>
    <w:rsid w:val="002C1D70"/>
    <w:rsid w:val="002C618F"/>
    <w:rsid w:val="002C61B6"/>
    <w:rsid w:val="002D34D9"/>
    <w:rsid w:val="0030767C"/>
    <w:rsid w:val="00313FCC"/>
    <w:rsid w:val="00316418"/>
    <w:rsid w:val="0032128B"/>
    <w:rsid w:val="00327EBC"/>
    <w:rsid w:val="00332CAF"/>
    <w:rsid w:val="003645A7"/>
    <w:rsid w:val="003829E5"/>
    <w:rsid w:val="003831BA"/>
    <w:rsid w:val="00387233"/>
    <w:rsid w:val="00391875"/>
    <w:rsid w:val="003B58EB"/>
    <w:rsid w:val="003C0D73"/>
    <w:rsid w:val="003F1443"/>
    <w:rsid w:val="003F5180"/>
    <w:rsid w:val="004029B9"/>
    <w:rsid w:val="00402C1A"/>
    <w:rsid w:val="00406E40"/>
    <w:rsid w:val="00410745"/>
    <w:rsid w:val="004133F8"/>
    <w:rsid w:val="004229C9"/>
    <w:rsid w:val="0042579D"/>
    <w:rsid w:val="00434056"/>
    <w:rsid w:val="00443215"/>
    <w:rsid w:val="00444561"/>
    <w:rsid w:val="00454315"/>
    <w:rsid w:val="00457B31"/>
    <w:rsid w:val="00460A65"/>
    <w:rsid w:val="00461210"/>
    <w:rsid w:val="00461D23"/>
    <w:rsid w:val="00466653"/>
    <w:rsid w:val="00477ADD"/>
    <w:rsid w:val="004804E3"/>
    <w:rsid w:val="004805A1"/>
    <w:rsid w:val="00492962"/>
    <w:rsid w:val="004A36BF"/>
    <w:rsid w:val="004B20CF"/>
    <w:rsid w:val="004D2EAB"/>
    <w:rsid w:val="004D46E9"/>
    <w:rsid w:val="004E03D9"/>
    <w:rsid w:val="004F2067"/>
    <w:rsid w:val="004F57BD"/>
    <w:rsid w:val="004F7597"/>
    <w:rsid w:val="004F7604"/>
    <w:rsid w:val="00507B2E"/>
    <w:rsid w:val="00521431"/>
    <w:rsid w:val="005247B7"/>
    <w:rsid w:val="00542882"/>
    <w:rsid w:val="005434D9"/>
    <w:rsid w:val="0055347B"/>
    <w:rsid w:val="005555A5"/>
    <w:rsid w:val="00565878"/>
    <w:rsid w:val="00577BE4"/>
    <w:rsid w:val="00583AC5"/>
    <w:rsid w:val="005A106C"/>
    <w:rsid w:val="005A5E27"/>
    <w:rsid w:val="005B2E45"/>
    <w:rsid w:val="005C2193"/>
    <w:rsid w:val="005E1ABF"/>
    <w:rsid w:val="005F5270"/>
    <w:rsid w:val="005F7721"/>
    <w:rsid w:val="00611322"/>
    <w:rsid w:val="00612326"/>
    <w:rsid w:val="00623275"/>
    <w:rsid w:val="006301A9"/>
    <w:rsid w:val="00650015"/>
    <w:rsid w:val="0066187D"/>
    <w:rsid w:val="00667E91"/>
    <w:rsid w:val="0067002D"/>
    <w:rsid w:val="00673CC9"/>
    <w:rsid w:val="00673D4F"/>
    <w:rsid w:val="0068131C"/>
    <w:rsid w:val="0068345D"/>
    <w:rsid w:val="006A527A"/>
    <w:rsid w:val="006A552B"/>
    <w:rsid w:val="006B10BE"/>
    <w:rsid w:val="006B1532"/>
    <w:rsid w:val="006C14AE"/>
    <w:rsid w:val="006D0E18"/>
    <w:rsid w:val="006D5ECB"/>
    <w:rsid w:val="006D72E3"/>
    <w:rsid w:val="006E57AC"/>
    <w:rsid w:val="006E7CF0"/>
    <w:rsid w:val="006F0B48"/>
    <w:rsid w:val="006F49A0"/>
    <w:rsid w:val="00702233"/>
    <w:rsid w:val="00714C40"/>
    <w:rsid w:val="00717D64"/>
    <w:rsid w:val="00720B21"/>
    <w:rsid w:val="00721CEB"/>
    <w:rsid w:val="00723FF6"/>
    <w:rsid w:val="007329F6"/>
    <w:rsid w:val="00736021"/>
    <w:rsid w:val="00742532"/>
    <w:rsid w:val="00757961"/>
    <w:rsid w:val="007646F3"/>
    <w:rsid w:val="007719C9"/>
    <w:rsid w:val="0077650F"/>
    <w:rsid w:val="00787046"/>
    <w:rsid w:val="00792F32"/>
    <w:rsid w:val="007949AF"/>
    <w:rsid w:val="00796F52"/>
    <w:rsid w:val="007A7205"/>
    <w:rsid w:val="007C6B4D"/>
    <w:rsid w:val="007D2CE5"/>
    <w:rsid w:val="007D4A2E"/>
    <w:rsid w:val="007E0A16"/>
    <w:rsid w:val="007E4E5C"/>
    <w:rsid w:val="007F6389"/>
    <w:rsid w:val="00807FFE"/>
    <w:rsid w:val="00810380"/>
    <w:rsid w:val="00811D85"/>
    <w:rsid w:val="00826AFB"/>
    <w:rsid w:val="00827317"/>
    <w:rsid w:val="00830080"/>
    <w:rsid w:val="008347EF"/>
    <w:rsid w:val="008473E8"/>
    <w:rsid w:val="0086776A"/>
    <w:rsid w:val="00880E78"/>
    <w:rsid w:val="0088399B"/>
    <w:rsid w:val="008841A9"/>
    <w:rsid w:val="008A07D2"/>
    <w:rsid w:val="008A1426"/>
    <w:rsid w:val="008A7ECA"/>
    <w:rsid w:val="008B4166"/>
    <w:rsid w:val="008D3223"/>
    <w:rsid w:val="008D6443"/>
    <w:rsid w:val="008E12C0"/>
    <w:rsid w:val="008E2CDE"/>
    <w:rsid w:val="008E3715"/>
    <w:rsid w:val="00900C55"/>
    <w:rsid w:val="009016E2"/>
    <w:rsid w:val="0091615F"/>
    <w:rsid w:val="00930FFB"/>
    <w:rsid w:val="009877B2"/>
    <w:rsid w:val="00987B74"/>
    <w:rsid w:val="00994A62"/>
    <w:rsid w:val="009A0736"/>
    <w:rsid w:val="009B0986"/>
    <w:rsid w:val="009D00D5"/>
    <w:rsid w:val="009D6756"/>
    <w:rsid w:val="009F2FC9"/>
    <w:rsid w:val="00A02A7D"/>
    <w:rsid w:val="00A04335"/>
    <w:rsid w:val="00A120DB"/>
    <w:rsid w:val="00A13243"/>
    <w:rsid w:val="00A32AEA"/>
    <w:rsid w:val="00A35412"/>
    <w:rsid w:val="00A42FA7"/>
    <w:rsid w:val="00A456A6"/>
    <w:rsid w:val="00A567E2"/>
    <w:rsid w:val="00A64BCE"/>
    <w:rsid w:val="00A660D6"/>
    <w:rsid w:val="00A72B60"/>
    <w:rsid w:val="00A90F4A"/>
    <w:rsid w:val="00A947DD"/>
    <w:rsid w:val="00A94D6E"/>
    <w:rsid w:val="00AA1623"/>
    <w:rsid w:val="00AA2653"/>
    <w:rsid w:val="00AA7BE6"/>
    <w:rsid w:val="00AB35E4"/>
    <w:rsid w:val="00AB4EFA"/>
    <w:rsid w:val="00AE042B"/>
    <w:rsid w:val="00AF2D8B"/>
    <w:rsid w:val="00AF349D"/>
    <w:rsid w:val="00B11A48"/>
    <w:rsid w:val="00B20C36"/>
    <w:rsid w:val="00B41C11"/>
    <w:rsid w:val="00B4763A"/>
    <w:rsid w:val="00B559FC"/>
    <w:rsid w:val="00B733BD"/>
    <w:rsid w:val="00B80277"/>
    <w:rsid w:val="00B80FB0"/>
    <w:rsid w:val="00B81D16"/>
    <w:rsid w:val="00B84903"/>
    <w:rsid w:val="00BA1DC2"/>
    <w:rsid w:val="00BA3C4B"/>
    <w:rsid w:val="00BA6876"/>
    <w:rsid w:val="00BB2365"/>
    <w:rsid w:val="00BB468F"/>
    <w:rsid w:val="00BD4EC3"/>
    <w:rsid w:val="00BD68E2"/>
    <w:rsid w:val="00BE3F25"/>
    <w:rsid w:val="00C00CF8"/>
    <w:rsid w:val="00C045B8"/>
    <w:rsid w:val="00C06907"/>
    <w:rsid w:val="00C52440"/>
    <w:rsid w:val="00C52447"/>
    <w:rsid w:val="00C614AE"/>
    <w:rsid w:val="00C63C96"/>
    <w:rsid w:val="00C67A45"/>
    <w:rsid w:val="00C757DF"/>
    <w:rsid w:val="00C83364"/>
    <w:rsid w:val="00C8596F"/>
    <w:rsid w:val="00C932E8"/>
    <w:rsid w:val="00C933E7"/>
    <w:rsid w:val="00C97D3F"/>
    <w:rsid w:val="00CB2EC2"/>
    <w:rsid w:val="00CB477D"/>
    <w:rsid w:val="00CD6ADF"/>
    <w:rsid w:val="00CE0550"/>
    <w:rsid w:val="00CE79B6"/>
    <w:rsid w:val="00CF0046"/>
    <w:rsid w:val="00CF6B3D"/>
    <w:rsid w:val="00D1151C"/>
    <w:rsid w:val="00D157D9"/>
    <w:rsid w:val="00D20996"/>
    <w:rsid w:val="00D22704"/>
    <w:rsid w:val="00D46ABD"/>
    <w:rsid w:val="00D70132"/>
    <w:rsid w:val="00D73212"/>
    <w:rsid w:val="00D80042"/>
    <w:rsid w:val="00D85AE6"/>
    <w:rsid w:val="00D9381A"/>
    <w:rsid w:val="00D962A0"/>
    <w:rsid w:val="00DA07FE"/>
    <w:rsid w:val="00DA0C5C"/>
    <w:rsid w:val="00DA61EB"/>
    <w:rsid w:val="00DD4C35"/>
    <w:rsid w:val="00DD69FE"/>
    <w:rsid w:val="00DE192B"/>
    <w:rsid w:val="00DE621D"/>
    <w:rsid w:val="00DE759F"/>
    <w:rsid w:val="00DF2710"/>
    <w:rsid w:val="00DF6B39"/>
    <w:rsid w:val="00E01D66"/>
    <w:rsid w:val="00E035C6"/>
    <w:rsid w:val="00E1365A"/>
    <w:rsid w:val="00E16B53"/>
    <w:rsid w:val="00E26474"/>
    <w:rsid w:val="00E31BB5"/>
    <w:rsid w:val="00E427B3"/>
    <w:rsid w:val="00E442A9"/>
    <w:rsid w:val="00E510F0"/>
    <w:rsid w:val="00E614E7"/>
    <w:rsid w:val="00E6677C"/>
    <w:rsid w:val="00E9227A"/>
    <w:rsid w:val="00E95F4A"/>
    <w:rsid w:val="00EA34A7"/>
    <w:rsid w:val="00EA4655"/>
    <w:rsid w:val="00EC14B4"/>
    <w:rsid w:val="00EC1A8B"/>
    <w:rsid w:val="00ED194D"/>
    <w:rsid w:val="00ED2893"/>
    <w:rsid w:val="00EE17F8"/>
    <w:rsid w:val="00EF2984"/>
    <w:rsid w:val="00F01B99"/>
    <w:rsid w:val="00F040A6"/>
    <w:rsid w:val="00F3273A"/>
    <w:rsid w:val="00F32CCE"/>
    <w:rsid w:val="00F53834"/>
    <w:rsid w:val="00F672D7"/>
    <w:rsid w:val="00F72572"/>
    <w:rsid w:val="00FA1393"/>
    <w:rsid w:val="00FA4F2A"/>
    <w:rsid w:val="00FD0758"/>
    <w:rsid w:val="00FD2B56"/>
    <w:rsid w:val="00FE09FF"/>
    <w:rsid w:val="00FE4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402C1A"/>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2A085B"/>
    <w:pPr>
      <w:spacing w:line="360" w:lineRule="auto"/>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410745"/>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6301A9"/>
    <w:rPr>
      <w:rFonts w:ascii="Arial" w:hAnsi="Arial" w:cs="Arial"/>
      <w:b/>
      <w:bCs/>
      <w:color w:val="4F4C4D"/>
      <w:sz w:val="24"/>
      <w:szCs w:val="26"/>
      <w:lang w:val="en-AU" w:eastAsia="en-AU" w:bidi="ar-SA"/>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numPr>
        <w:numId w:val="17"/>
      </w:numPr>
      <w:spacing w:before="320" w:after="160" w:line="360" w:lineRule="atLeast"/>
    </w:pPr>
    <w:rPr>
      <w:color w:val="004984"/>
      <w:sz w:val="32"/>
    </w:rPr>
  </w:style>
  <w:style w:type="paragraph" w:customStyle="1" w:styleId="NoHeading2">
    <w:name w:val="No. Heading 2"/>
    <w:basedOn w:val="Normal"/>
    <w:next w:val="BodyText1"/>
    <w:qFormat/>
    <w:rsid w:val="00402C1A"/>
    <w:pPr>
      <w:numPr>
        <w:ilvl w:val="1"/>
        <w:numId w:val="17"/>
      </w:numPr>
      <w:spacing w:before="240" w:after="120" w:line="280" w:lineRule="atLeast"/>
    </w:pPr>
    <w:rPr>
      <w:b/>
      <w:color w:val="4F4C4D"/>
      <w:sz w:val="24"/>
      <w:lang w:val="en-GB"/>
    </w:rPr>
  </w:style>
  <w:style w:type="paragraph" w:customStyle="1" w:styleId="NoHeading3">
    <w:name w:val="No. Heading 3"/>
    <w:basedOn w:val="Heading3"/>
    <w:qFormat/>
    <w:rsid w:val="00402C1A"/>
    <w:pPr>
      <w:numPr>
        <w:ilvl w:val="2"/>
        <w:numId w:val="17"/>
      </w:numPr>
      <w:spacing w:line="259" w:lineRule="auto"/>
    </w:pPr>
  </w:style>
  <w:style w:type="paragraph" w:customStyle="1" w:styleId="NoHeading4">
    <w:name w:val="No. Heading 4"/>
    <w:basedOn w:val="Heading4"/>
    <w:qFormat/>
    <w:rsid w:val="00A35412"/>
    <w:pPr>
      <w:numPr>
        <w:ilvl w:val="3"/>
        <w:numId w:val="17"/>
      </w:numPr>
    </w:pPr>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736021"/>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 w:type="character" w:styleId="BookTitle">
    <w:name w:val="Book Title"/>
    <w:basedOn w:val="DefaultParagraphFont"/>
    <w:uiPriority w:val="33"/>
    <w:qFormat/>
    <w:rsid w:val="004F2067"/>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402C1A"/>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2A085B"/>
    <w:pPr>
      <w:spacing w:line="360" w:lineRule="auto"/>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410745"/>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6301A9"/>
    <w:rPr>
      <w:rFonts w:ascii="Arial" w:hAnsi="Arial" w:cs="Arial"/>
      <w:b/>
      <w:bCs/>
      <w:color w:val="4F4C4D"/>
      <w:sz w:val="24"/>
      <w:szCs w:val="26"/>
      <w:lang w:val="en-AU" w:eastAsia="en-AU" w:bidi="ar-SA"/>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numPr>
        <w:numId w:val="17"/>
      </w:numPr>
      <w:spacing w:before="320" w:after="160" w:line="360" w:lineRule="atLeast"/>
    </w:pPr>
    <w:rPr>
      <w:color w:val="004984"/>
      <w:sz w:val="32"/>
    </w:rPr>
  </w:style>
  <w:style w:type="paragraph" w:customStyle="1" w:styleId="NoHeading2">
    <w:name w:val="No. Heading 2"/>
    <w:basedOn w:val="Normal"/>
    <w:next w:val="BodyText1"/>
    <w:qFormat/>
    <w:rsid w:val="00402C1A"/>
    <w:pPr>
      <w:numPr>
        <w:ilvl w:val="1"/>
        <w:numId w:val="17"/>
      </w:numPr>
      <w:spacing w:before="240" w:after="120" w:line="280" w:lineRule="atLeast"/>
    </w:pPr>
    <w:rPr>
      <w:b/>
      <w:color w:val="4F4C4D"/>
      <w:sz w:val="24"/>
      <w:lang w:val="en-GB"/>
    </w:rPr>
  </w:style>
  <w:style w:type="paragraph" w:customStyle="1" w:styleId="NoHeading3">
    <w:name w:val="No. Heading 3"/>
    <w:basedOn w:val="Heading3"/>
    <w:qFormat/>
    <w:rsid w:val="00402C1A"/>
    <w:pPr>
      <w:numPr>
        <w:ilvl w:val="2"/>
        <w:numId w:val="17"/>
      </w:numPr>
      <w:spacing w:line="259" w:lineRule="auto"/>
    </w:pPr>
  </w:style>
  <w:style w:type="paragraph" w:customStyle="1" w:styleId="NoHeading4">
    <w:name w:val="No. Heading 4"/>
    <w:basedOn w:val="Heading4"/>
    <w:qFormat/>
    <w:rsid w:val="00A35412"/>
    <w:pPr>
      <w:numPr>
        <w:ilvl w:val="3"/>
        <w:numId w:val="17"/>
      </w:numPr>
    </w:pPr>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736021"/>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 w:type="character" w:styleId="BookTitle">
    <w:name w:val="Book Title"/>
    <w:basedOn w:val="DefaultParagraphFont"/>
    <w:uiPriority w:val="33"/>
    <w:qFormat/>
    <w:rsid w:val="004F206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62587">
      <w:bodyDiv w:val="1"/>
      <w:marLeft w:val="0"/>
      <w:marRight w:val="0"/>
      <w:marTop w:val="0"/>
      <w:marBottom w:val="0"/>
      <w:divBdr>
        <w:top w:val="none" w:sz="0" w:space="0" w:color="auto"/>
        <w:left w:val="none" w:sz="0" w:space="0" w:color="auto"/>
        <w:bottom w:val="none" w:sz="0" w:space="0" w:color="auto"/>
        <w:right w:val="none" w:sz="0" w:space="0" w:color="auto"/>
      </w:divBdr>
    </w:div>
    <w:div w:id="207778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79B54-ADC0-432F-A205-28989A99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3907</Words>
  <Characters>20343</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AGA - ETL Framework</vt:lpstr>
    </vt:vector>
  </TitlesOfParts>
  <Company/>
  <LinksUpToDate>false</LinksUpToDate>
  <CharactersWithSpaces>24202</CharactersWithSpaces>
  <SharedDoc>false</SharedDoc>
  <HLinks>
    <vt:vector size="186" baseType="variant">
      <vt:variant>
        <vt:i4>6553697</vt:i4>
      </vt:variant>
      <vt:variant>
        <vt:i4>186</vt:i4>
      </vt:variant>
      <vt:variant>
        <vt:i4>0</vt:i4>
      </vt:variant>
      <vt:variant>
        <vt:i4>5</vt:i4>
      </vt:variant>
      <vt:variant>
        <vt:lpwstr/>
      </vt:variant>
      <vt:variant>
        <vt:lpwstr>TravelPlanning</vt:lpwstr>
      </vt:variant>
      <vt:variant>
        <vt:i4>1835035</vt:i4>
      </vt:variant>
      <vt:variant>
        <vt:i4>183</vt:i4>
      </vt:variant>
      <vt:variant>
        <vt:i4>0</vt:i4>
      </vt:variant>
      <vt:variant>
        <vt:i4>5</vt:i4>
      </vt:variant>
      <vt:variant>
        <vt:lpwstr/>
      </vt:variant>
      <vt:variant>
        <vt:lpwstr>RepatriationTravelRevisionDiagram</vt:lpwstr>
      </vt:variant>
      <vt:variant>
        <vt:i4>1310777</vt:i4>
      </vt:variant>
      <vt:variant>
        <vt:i4>170</vt:i4>
      </vt:variant>
      <vt:variant>
        <vt:i4>0</vt:i4>
      </vt:variant>
      <vt:variant>
        <vt:i4>5</vt:i4>
      </vt:variant>
      <vt:variant>
        <vt:lpwstr/>
      </vt:variant>
      <vt:variant>
        <vt:lpwstr>_Toc343594063</vt:lpwstr>
      </vt:variant>
      <vt:variant>
        <vt:i4>1310777</vt:i4>
      </vt:variant>
      <vt:variant>
        <vt:i4>164</vt:i4>
      </vt:variant>
      <vt:variant>
        <vt:i4>0</vt:i4>
      </vt:variant>
      <vt:variant>
        <vt:i4>5</vt:i4>
      </vt:variant>
      <vt:variant>
        <vt:lpwstr/>
      </vt:variant>
      <vt:variant>
        <vt:lpwstr>_Toc343594062</vt:lpwstr>
      </vt:variant>
      <vt:variant>
        <vt:i4>1310777</vt:i4>
      </vt:variant>
      <vt:variant>
        <vt:i4>158</vt:i4>
      </vt:variant>
      <vt:variant>
        <vt:i4>0</vt:i4>
      </vt:variant>
      <vt:variant>
        <vt:i4>5</vt:i4>
      </vt:variant>
      <vt:variant>
        <vt:lpwstr/>
      </vt:variant>
      <vt:variant>
        <vt:lpwstr>_Toc343594061</vt:lpwstr>
      </vt:variant>
      <vt:variant>
        <vt:i4>1310777</vt:i4>
      </vt:variant>
      <vt:variant>
        <vt:i4>152</vt:i4>
      </vt:variant>
      <vt:variant>
        <vt:i4>0</vt:i4>
      </vt:variant>
      <vt:variant>
        <vt:i4>5</vt:i4>
      </vt:variant>
      <vt:variant>
        <vt:lpwstr/>
      </vt:variant>
      <vt:variant>
        <vt:lpwstr>_Toc343594060</vt:lpwstr>
      </vt:variant>
      <vt:variant>
        <vt:i4>1507385</vt:i4>
      </vt:variant>
      <vt:variant>
        <vt:i4>146</vt:i4>
      </vt:variant>
      <vt:variant>
        <vt:i4>0</vt:i4>
      </vt:variant>
      <vt:variant>
        <vt:i4>5</vt:i4>
      </vt:variant>
      <vt:variant>
        <vt:lpwstr/>
      </vt:variant>
      <vt:variant>
        <vt:lpwstr>_Toc343594059</vt:lpwstr>
      </vt:variant>
      <vt:variant>
        <vt:i4>1507385</vt:i4>
      </vt:variant>
      <vt:variant>
        <vt:i4>140</vt:i4>
      </vt:variant>
      <vt:variant>
        <vt:i4>0</vt:i4>
      </vt:variant>
      <vt:variant>
        <vt:i4>5</vt:i4>
      </vt:variant>
      <vt:variant>
        <vt:lpwstr/>
      </vt:variant>
      <vt:variant>
        <vt:lpwstr>_Toc343594058</vt:lpwstr>
      </vt:variant>
      <vt:variant>
        <vt:i4>1507385</vt:i4>
      </vt:variant>
      <vt:variant>
        <vt:i4>134</vt:i4>
      </vt:variant>
      <vt:variant>
        <vt:i4>0</vt:i4>
      </vt:variant>
      <vt:variant>
        <vt:i4>5</vt:i4>
      </vt:variant>
      <vt:variant>
        <vt:lpwstr/>
      </vt:variant>
      <vt:variant>
        <vt:lpwstr>_Toc343594057</vt:lpwstr>
      </vt:variant>
      <vt:variant>
        <vt:i4>1507385</vt:i4>
      </vt:variant>
      <vt:variant>
        <vt:i4>128</vt:i4>
      </vt:variant>
      <vt:variant>
        <vt:i4>0</vt:i4>
      </vt:variant>
      <vt:variant>
        <vt:i4>5</vt:i4>
      </vt:variant>
      <vt:variant>
        <vt:lpwstr/>
      </vt:variant>
      <vt:variant>
        <vt:lpwstr>_Toc343594056</vt:lpwstr>
      </vt:variant>
      <vt:variant>
        <vt:i4>1507385</vt:i4>
      </vt:variant>
      <vt:variant>
        <vt:i4>122</vt:i4>
      </vt:variant>
      <vt:variant>
        <vt:i4>0</vt:i4>
      </vt:variant>
      <vt:variant>
        <vt:i4>5</vt:i4>
      </vt:variant>
      <vt:variant>
        <vt:lpwstr/>
      </vt:variant>
      <vt:variant>
        <vt:lpwstr>_Toc343594055</vt:lpwstr>
      </vt:variant>
      <vt:variant>
        <vt:i4>1507385</vt:i4>
      </vt:variant>
      <vt:variant>
        <vt:i4>116</vt:i4>
      </vt:variant>
      <vt:variant>
        <vt:i4>0</vt:i4>
      </vt:variant>
      <vt:variant>
        <vt:i4>5</vt:i4>
      </vt:variant>
      <vt:variant>
        <vt:lpwstr/>
      </vt:variant>
      <vt:variant>
        <vt:lpwstr>_Toc343594054</vt:lpwstr>
      </vt:variant>
      <vt:variant>
        <vt:i4>1507385</vt:i4>
      </vt:variant>
      <vt:variant>
        <vt:i4>110</vt:i4>
      </vt:variant>
      <vt:variant>
        <vt:i4>0</vt:i4>
      </vt:variant>
      <vt:variant>
        <vt:i4>5</vt:i4>
      </vt:variant>
      <vt:variant>
        <vt:lpwstr/>
      </vt:variant>
      <vt:variant>
        <vt:lpwstr>_Toc343594053</vt:lpwstr>
      </vt:variant>
      <vt:variant>
        <vt:i4>1507385</vt:i4>
      </vt:variant>
      <vt:variant>
        <vt:i4>104</vt:i4>
      </vt:variant>
      <vt:variant>
        <vt:i4>0</vt:i4>
      </vt:variant>
      <vt:variant>
        <vt:i4>5</vt:i4>
      </vt:variant>
      <vt:variant>
        <vt:lpwstr/>
      </vt:variant>
      <vt:variant>
        <vt:lpwstr>_Toc343594052</vt:lpwstr>
      </vt:variant>
      <vt:variant>
        <vt:i4>1507385</vt:i4>
      </vt:variant>
      <vt:variant>
        <vt:i4>98</vt:i4>
      </vt:variant>
      <vt:variant>
        <vt:i4>0</vt:i4>
      </vt:variant>
      <vt:variant>
        <vt:i4>5</vt:i4>
      </vt:variant>
      <vt:variant>
        <vt:lpwstr/>
      </vt:variant>
      <vt:variant>
        <vt:lpwstr>_Toc343594051</vt:lpwstr>
      </vt:variant>
      <vt:variant>
        <vt:i4>1507385</vt:i4>
      </vt:variant>
      <vt:variant>
        <vt:i4>92</vt:i4>
      </vt:variant>
      <vt:variant>
        <vt:i4>0</vt:i4>
      </vt:variant>
      <vt:variant>
        <vt:i4>5</vt:i4>
      </vt:variant>
      <vt:variant>
        <vt:lpwstr/>
      </vt:variant>
      <vt:variant>
        <vt:lpwstr>_Toc343594050</vt:lpwstr>
      </vt:variant>
      <vt:variant>
        <vt:i4>1441849</vt:i4>
      </vt:variant>
      <vt:variant>
        <vt:i4>86</vt:i4>
      </vt:variant>
      <vt:variant>
        <vt:i4>0</vt:i4>
      </vt:variant>
      <vt:variant>
        <vt:i4>5</vt:i4>
      </vt:variant>
      <vt:variant>
        <vt:lpwstr/>
      </vt:variant>
      <vt:variant>
        <vt:lpwstr>_Toc343594049</vt:lpwstr>
      </vt:variant>
      <vt:variant>
        <vt:i4>1441849</vt:i4>
      </vt:variant>
      <vt:variant>
        <vt:i4>80</vt:i4>
      </vt:variant>
      <vt:variant>
        <vt:i4>0</vt:i4>
      </vt:variant>
      <vt:variant>
        <vt:i4>5</vt:i4>
      </vt:variant>
      <vt:variant>
        <vt:lpwstr/>
      </vt:variant>
      <vt:variant>
        <vt:lpwstr>_Toc343594048</vt:lpwstr>
      </vt:variant>
      <vt:variant>
        <vt:i4>1441849</vt:i4>
      </vt:variant>
      <vt:variant>
        <vt:i4>74</vt:i4>
      </vt:variant>
      <vt:variant>
        <vt:i4>0</vt:i4>
      </vt:variant>
      <vt:variant>
        <vt:i4>5</vt:i4>
      </vt:variant>
      <vt:variant>
        <vt:lpwstr/>
      </vt:variant>
      <vt:variant>
        <vt:lpwstr>_Toc343594047</vt:lpwstr>
      </vt:variant>
      <vt:variant>
        <vt:i4>1441849</vt:i4>
      </vt:variant>
      <vt:variant>
        <vt:i4>68</vt:i4>
      </vt:variant>
      <vt:variant>
        <vt:i4>0</vt:i4>
      </vt:variant>
      <vt:variant>
        <vt:i4>5</vt:i4>
      </vt:variant>
      <vt:variant>
        <vt:lpwstr/>
      </vt:variant>
      <vt:variant>
        <vt:lpwstr>_Toc343594046</vt:lpwstr>
      </vt:variant>
      <vt:variant>
        <vt:i4>1441849</vt:i4>
      </vt:variant>
      <vt:variant>
        <vt:i4>62</vt:i4>
      </vt:variant>
      <vt:variant>
        <vt:i4>0</vt:i4>
      </vt:variant>
      <vt:variant>
        <vt:i4>5</vt:i4>
      </vt:variant>
      <vt:variant>
        <vt:lpwstr/>
      </vt:variant>
      <vt:variant>
        <vt:lpwstr>_Toc343594045</vt:lpwstr>
      </vt:variant>
      <vt:variant>
        <vt:i4>1441849</vt:i4>
      </vt:variant>
      <vt:variant>
        <vt:i4>56</vt:i4>
      </vt:variant>
      <vt:variant>
        <vt:i4>0</vt:i4>
      </vt:variant>
      <vt:variant>
        <vt:i4>5</vt:i4>
      </vt:variant>
      <vt:variant>
        <vt:lpwstr/>
      </vt:variant>
      <vt:variant>
        <vt:lpwstr>_Toc343594044</vt:lpwstr>
      </vt:variant>
      <vt:variant>
        <vt:i4>1441849</vt:i4>
      </vt:variant>
      <vt:variant>
        <vt:i4>50</vt:i4>
      </vt:variant>
      <vt:variant>
        <vt:i4>0</vt:i4>
      </vt:variant>
      <vt:variant>
        <vt:i4>5</vt:i4>
      </vt:variant>
      <vt:variant>
        <vt:lpwstr/>
      </vt:variant>
      <vt:variant>
        <vt:lpwstr>_Toc343594043</vt:lpwstr>
      </vt:variant>
      <vt:variant>
        <vt:i4>1441849</vt:i4>
      </vt:variant>
      <vt:variant>
        <vt:i4>44</vt:i4>
      </vt:variant>
      <vt:variant>
        <vt:i4>0</vt:i4>
      </vt:variant>
      <vt:variant>
        <vt:i4>5</vt:i4>
      </vt:variant>
      <vt:variant>
        <vt:lpwstr/>
      </vt:variant>
      <vt:variant>
        <vt:lpwstr>_Toc343594042</vt:lpwstr>
      </vt:variant>
      <vt:variant>
        <vt:i4>1441849</vt:i4>
      </vt:variant>
      <vt:variant>
        <vt:i4>38</vt:i4>
      </vt:variant>
      <vt:variant>
        <vt:i4>0</vt:i4>
      </vt:variant>
      <vt:variant>
        <vt:i4>5</vt:i4>
      </vt:variant>
      <vt:variant>
        <vt:lpwstr/>
      </vt:variant>
      <vt:variant>
        <vt:lpwstr>_Toc343594041</vt:lpwstr>
      </vt:variant>
      <vt:variant>
        <vt:i4>1441849</vt:i4>
      </vt:variant>
      <vt:variant>
        <vt:i4>32</vt:i4>
      </vt:variant>
      <vt:variant>
        <vt:i4>0</vt:i4>
      </vt:variant>
      <vt:variant>
        <vt:i4>5</vt:i4>
      </vt:variant>
      <vt:variant>
        <vt:lpwstr/>
      </vt:variant>
      <vt:variant>
        <vt:lpwstr>_Toc343594040</vt:lpwstr>
      </vt:variant>
      <vt:variant>
        <vt:i4>1114169</vt:i4>
      </vt:variant>
      <vt:variant>
        <vt:i4>26</vt:i4>
      </vt:variant>
      <vt:variant>
        <vt:i4>0</vt:i4>
      </vt:variant>
      <vt:variant>
        <vt:i4>5</vt:i4>
      </vt:variant>
      <vt:variant>
        <vt:lpwstr/>
      </vt:variant>
      <vt:variant>
        <vt:lpwstr>_Toc343594039</vt:lpwstr>
      </vt:variant>
      <vt:variant>
        <vt:i4>1114169</vt:i4>
      </vt:variant>
      <vt:variant>
        <vt:i4>20</vt:i4>
      </vt:variant>
      <vt:variant>
        <vt:i4>0</vt:i4>
      </vt:variant>
      <vt:variant>
        <vt:i4>5</vt:i4>
      </vt:variant>
      <vt:variant>
        <vt:lpwstr/>
      </vt:variant>
      <vt:variant>
        <vt:lpwstr>_Toc343594038</vt:lpwstr>
      </vt:variant>
      <vt:variant>
        <vt:i4>1114169</vt:i4>
      </vt:variant>
      <vt:variant>
        <vt:i4>14</vt:i4>
      </vt:variant>
      <vt:variant>
        <vt:i4>0</vt:i4>
      </vt:variant>
      <vt:variant>
        <vt:i4>5</vt:i4>
      </vt:variant>
      <vt:variant>
        <vt:lpwstr/>
      </vt:variant>
      <vt:variant>
        <vt:lpwstr>_Toc343594037</vt:lpwstr>
      </vt:variant>
      <vt:variant>
        <vt:i4>1114169</vt:i4>
      </vt:variant>
      <vt:variant>
        <vt:i4>8</vt:i4>
      </vt:variant>
      <vt:variant>
        <vt:i4>0</vt:i4>
      </vt:variant>
      <vt:variant>
        <vt:i4>5</vt:i4>
      </vt:variant>
      <vt:variant>
        <vt:lpwstr/>
      </vt:variant>
      <vt:variant>
        <vt:lpwstr>_Toc343594036</vt:lpwstr>
      </vt:variant>
      <vt:variant>
        <vt:i4>1114169</vt:i4>
      </vt:variant>
      <vt:variant>
        <vt:i4>2</vt:i4>
      </vt:variant>
      <vt:variant>
        <vt:i4>0</vt:i4>
      </vt:variant>
      <vt:variant>
        <vt:i4>5</vt:i4>
      </vt:variant>
      <vt:variant>
        <vt:lpwstr/>
      </vt:variant>
      <vt:variant>
        <vt:lpwstr>_Toc343594035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Framework</dc:title>
  <dc:subject/>
  <dc:creator/>
  <cp:keywords/>
  <cp:lastModifiedBy>Roelant Vos</cp:lastModifiedBy>
  <cp:revision>32</cp:revision>
  <cp:lastPrinted>2018-01-02T06:08:00Z</cp:lastPrinted>
  <dcterms:created xsi:type="dcterms:W3CDTF">2014-12-12T01:28:00Z</dcterms:created>
  <dcterms:modified xsi:type="dcterms:W3CDTF">2018-01-17T23:15:00Z</dcterms:modified>
  <cp:category/>
</cp:coreProperties>
</file>