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AI Gurukul RJ777 — Master Prompt</w:t>
      </w:r>
    </w:p>
    <w:p>
      <w:pPr>
        <w:spacing w:after="120"/>
      </w:pPr>
      <w:r>
        <w:rPr>
          <w:i/>
          <w:iCs/>
          <w:color w:val="5B5670"/>
          <w:sz w:val="24"/>
          <w:szCs w:val="24"/>
        </w:rPr>
        <w:t xml:space="preserve">Build a complete, offline, mobile-ready learning portal in one pass — and reuse the same prompt for any subject.</w:t>
      </w:r>
    </w:p>
    <w:p>
      <w:pPr>
        <w:spacing w:after="320"/>
      </w:pPr>
      <w:r>
        <w:rPr>
          <w:b/>
          <w:bCs/>
          <w:color w:val="4C1D95"/>
          <w:sz w:val="22"/>
          <w:szCs w:val="22"/>
        </w:rPr>
        <w:t xml:space="preserve">Developed by Ravindra Jain</w:t>
      </w:r>
      <w:r>
        <w:rPr>
          <w:color w:val="4C1D95"/>
          <w:sz w:val="22"/>
          <w:szCs w:val="22"/>
        </w:rPr>
        <w:t xml:space="preserve"> · </w:t>
      </w:r>
      <w:r>
        <w:rPr>
          <w:i/>
          <w:iCs/>
          <w:color w:val="4C1D95"/>
          <w:sz w:val="22"/>
          <w:szCs w:val="22"/>
        </w:rPr>
        <w:t xml:space="preserve">Learn, share, innovate — build together with AI</w:t>
      </w:r>
    </w:p>
    <w:p>
      <w:pPr>
        <w:pStyle w:val="Heading1"/>
      </w:pPr>
      <w:r>
        <w:t xml:space="preserve">How to use this document</w:t>
      </w:r>
    </w:p>
    <w:p>
      <w:pPr>
        <w:spacing w:after="120"/>
      </w:pPr>
      <w:r>
        <w:t xml:space="preserve">This document holds two prompts.</w:t>
      </w:r>
    </w:p>
    <w:p>
      <w:pPr>
        <w:spacing w:after="120"/>
      </w:pPr>
      <w:r>
        <w:rPr>
          <w:b/>
          <w:bCs/>
        </w:rPr>
        <w:t xml:space="preserve">Part A — the AI Gurukul RJ777 master prompt</w:t>
      </w:r>
      <w:r>
        <w:t xml:space="preserve"> rebuilds this AI learning portal: a single offline HTML file that teaches AI vocabulary, concepts, building and leadership, and coaches the learner every day.</w:t>
      </w:r>
    </w:p>
    <w:p>
      <w:pPr>
        <w:spacing w:after="120"/>
      </w:pPr>
      <w:r>
        <w:rPr>
          <w:b/>
          <w:bCs/>
        </w:rPr>
        <w:t xml:space="preserve">Part B — the universal master prompt</w:t>
      </w:r>
      <w:r>
        <w:t xml:space="preserve"> is the same blueprint with the subject, audience and goals turned into variables. Fill in the variable block and it produces a learning portal on any topic — cybersecurity, cloud, ITIL, data analytics, project management, or a team's own runbooks.</w:t>
      </w:r>
    </w:p>
    <w:p>
      <w:pPr>
        <w:spacing w:after="120"/>
      </w:pPr>
      <w:r>
        <w:t xml:space="preserve">To use either prompt: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the whole prompt into Claude (Opus or Sonnet recommended), in a chat or project with file creation turned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Part B, fill in every </w:t>
      </w:r>
      <w:r>
        <w:rPr>
          <w:rFonts w:ascii="Consolas" w:cs="Consolas" w:eastAsia="Consolas" w:hAnsi="Consolas"/>
          <w:color w:val="4C1D95"/>
          <w:sz w:val="19"/>
          <w:szCs w:val="19"/>
        </w:rPr>
        <w:t xml:space="preserve">{{VARIABLE}}</w:t>
      </w:r>
      <w:r>
        <w:t xml:space="preserve"> first. Leave a line as </w:t>
      </w:r>
      <w:r>
        <w:rPr>
          <w:rFonts w:ascii="Consolas" w:cs="Consolas" w:eastAsia="Consolas" w:hAnsi="Consolas"/>
          <w:color w:val="4C1D95"/>
          <w:sz w:val="19"/>
          <w:szCs w:val="19"/>
        </w:rPr>
        <w:t xml:space="preserve">default</w:t>
      </w:r>
      <w:r>
        <w:t xml:space="preserve"> to accept the suggested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it build in stages: it will profile the topic, restate the plan, build, then test. Answer its single clarifying question if it asks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follow-up prompts in Part C to extend it, one feature per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result against the definition of done before sharing it.</w:t>
      </w:r>
    </w:p>
    <w:p>
      <w:pPr>
        <w:pBdr>
          <w:left w:val="single" w:color="A78BFA" w:sz="12" w:space="8"/>
        </w:pBdr>
        <w:spacing w:after="120" w:before="80"/>
        <w:ind w:left="360"/>
      </w:pPr>
      <w:r>
        <w:rPr>
          <w:i/>
          <w:iCs/>
          <w:color w:val="4B4660"/>
        </w:rPr>
        <w:t xml:space="preserve">Tip: keep this Word document for reading and circulation, and the companion </w:t>
      </w:r>
      <w:r>
        <w:rPr>
          <w:rFonts w:ascii="Consolas" w:cs="Consolas" w:eastAsia="Consolas" w:hAnsi="Consolas"/>
          <w:i/>
          <w:iCs/>
          <w:color w:val="4B4660"/>
          <w:sz w:val="19"/>
          <w:szCs w:val="19"/>
        </w:rPr>
        <w:t xml:space="preserve">.md</w:t>
      </w:r>
      <w:r>
        <w:rPr>
          <w:i/>
          <w:iCs/>
          <w:color w:val="4B4660"/>
        </w:rPr>
        <w:t xml:space="preserve"> file for copying — markdown pastes cleanly into any AI chat.</w:t>
      </w:r>
    </w:p>
    <w:p>
      <w:pPr>
        <w:pStyle w:val="Heading1"/>
      </w:pPr>
      <w:r>
        <w:t xml:space="preserve">Part A — The AI Gurukul RJ777 master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4DEF2" w:sz="4"/>
              <w:left w:val="single" w:color="5B21B6" w:sz="24"/>
              <w:bottom w:val="single" w:color="E4DEF2" w:sz="4"/>
              <w:right w:val="single" w:color="E4DEF2" w:sz="4"/>
            </w:tcBorders>
            <w:shd w:fill="F5F3FA" w:color="auto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You are building AI GURUKUL RJ777 — an AI Learning Atlas: a single-file, offline,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mobile-ready learning portal that coaches an experienced IT professional (15+ years)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from AI fundamentals to building agents, leading AI initiatives and passing Claude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certifications.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1 · HARD CONSTRAINTS (override everything below)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One self-contained index.html: all CSS, JS and data inline. No frameworks, no CDN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dependencies except optional web fonts, no build step for the user.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Works offline after first load (service worker sw.js, network-first for the page,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cache-first for assets) and installs on phones (manifest.webmanifest + 192/512 icons).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No backend, no login, no keys. Progress saves to localStorage under one key, with an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in-memory fallback when storage is blocked. Export/Import progress as JSON.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Never use innerHTML with untrusted text: escape everything. Only https links, opened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with rel="noopener noreferrer" and referrerpolicy="no-referrer".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Plain English, British spelling, no marketing tone. Every factual claim about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products, prices or certifications is marked time-sensitive with a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"verified &lt;month&gt;" badge.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WCAG AA: text &gt;= 4.5:1 in every theme, visible focus, keyboard operable, touch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targets &gt;= 40px on touch screens, no horizontal scroll at 320px.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Credit: footer "AI Gurukul RJ777 — Developed by Ravindra Jain · © 2026" on every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screen, plus a name tag at the top of every page; an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About page with the full credit note, contact email (assembled at runtime, never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plain in the source), licence CC BY-NC-SA 4.0 in plain English and a copyable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attribution line; copyright comment, meta author and JSON-LD author in the file.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2 · THE DATA (all content as JS data arrays, rendered by one engine)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DOMAINS (13): fundamentals, architecture, tokens, training, models, prompting,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retrieval, agents, LLMOps, safety, roles, code, strategy &amp; leadership.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TERMS (~240): {id, t (name), d (domain), lv (1-3), s (one-line definition),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 (analogy), x (example), dd (deep dive), say ("in a meeting" line),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iq/ia (interview question/answer), r (related ids), f (flow id)}.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FLOWS (~15): SVG step-by-step diagrams {nodes with x/y and linked term, edges,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groups, steps with narration}: inference, RAG, agent loop, MCP, training, evals,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orchestration, LSTM cell, AI initiative lifecycle, full-stack app, AIOps loop.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GUIDES (~55) in groups: Understand, Build, Connect, Ship &amp; secure, Careers &amp; skills,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AIOps track, App workshop, Projects. Blocks: p, steps (with remark + term chips),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table, code (lang, caption, copy button, "run-tested" or "syntax-checked" label),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flow embed, tip, download.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LEAD sections (~11): starting point for experienced IT staff, initiative lifecycle,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use-case discovery, business impact, building solutions, leading with confidence,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governance toolkit, leadership preparation, 20+ real case studies (sourced, with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lesson, leader takeaway, interview use), mock interviews, career guidance.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SCENARIOS (~60 quiz questions), CERTS (Claude certification term maps), ROADMAP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(5 phases of tasks), PATHS (6 guided paths), NEWS snapshot + official newsrooms.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3 · RULES AS DATA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Spaced repetition: boxes 1-6, intervals 0,1,3,7,16,35,90 days. Again -&gt; box 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(tomorrow); Good -&gt; +1 box (a new card's first Good -&gt; box 2, 3 days); Easy -&gt; +2.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"Known" = box &gt;= 2. Wrong quiz answers send that term to tomorrow's review.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Daily session = due cards (max 12) + up to 5 new cards from the active path + 1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scenario question. Path steps auto-complete: terms when all known, guides and lead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sections when marked complete, flows when walked to the last step, quizzes &gt;= 70%.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Section hues rotate 1,6,4,7,5,3,8,2,9,11,12,10 through 12 category colours.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4 · SECTIONS TO BUILD, in this order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Five areas with a second-row section bar: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TODAY: Today (greeting, streak, session runner with flip + Again/Good/Easy and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next-interval hints, path next step, notes, backup reminder, freshness list,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what's new) · Paths (6 paths, step lists with status) · Latest in AI.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LEARN: Atlas (layered stack + start-here story) · Map (mind map by domain) ·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Cheat sheet · Flows (play, step, narration, tap nodes to open terms).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PRACTISE: Flashcards (filters, path decks, swipe, keys) · Quiz (definitions,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scenarios, mixed; history) · link to Mock interviews.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BUILD: Build lab (grouped list + guide stage, prev/next, mark complete).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GROW: Lead (with interactive use-case scorer on a value x feasibility matrix, ROI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calculator with conservative/expected/optimistic cases, leadership self-assessment,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case-study browser with filters, mock-interview trainer with 2-minute timer and a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"copy grade-my-answer prompt" button) · Certification readiness · Roadmap.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Global: search everything (terms, guides, lead, cases, interview questions, flows,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paths, news, personal notes); a drill-down drawer for every term with notes box,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review status and freshness badge; theme picker; export/import/reset menu.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5 · INTERACTION CONTRACT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Tapping any term anywhere opens its drill-down. Related terms, guides and lead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sections cross-link both ways.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The app resumes the last view, card, guide and lead section.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Latest in AI: a Refresh button fetches, in parallel with 10s timeouts and no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credentials, from browser-accessible public APIs only — Hacker News (Algolia),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Hugging Face daily papers and trending models, GitHub repository search. No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proxies. De-duplicate by URL and title. "Trusted sources only" toggle with a domain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allow-list. Trend radar from headline keywords linked to terms. Results cached;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offline shows saved results with a warning.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6 · DESIGN SYSTEM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- 13 themes as CSS-variable contracts (39 tokens: surfaces, borders, text x3,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accents, signals, radii, shadows, fonts, display type, motion) plus --on-a1,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--a1-ink and a 12-hue category palette tuned per theme (bright on dark, deep on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light, purples-and-greys only for Accenture themes).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Separation: page ground vs panel luminance ratio &gt;= 1.15; nested panels step up a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surface level.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Colour coding: each domain, tab, guide group and path has a hue; inside long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panels each section has its own hue across heading chip, table edge, header row,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alternating rows, first-column names (ink = 85% hue + 15% text), step numbers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and callouts.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Mobile: five area tabs fit at 360px; compact header; search icon expands on tap.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7 · TRAPS ALREADY PAID FOR (avoid them)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Symptom | Fix |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Script stops when data contains &lt;/script&gt; | Escape "&lt;/script" and "&lt;!--" in data |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Path terms never complete on day one | First "Good" on a new card must go to box 2 |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Search icon swallows taps on phones | pointer-events:none on the icon |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Colour coding silently overridden | Put coding CSS after component CSS |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Theme switch reads wrong colours in tests | Wait for the transition before measuring |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Duplicate news stories | De-duplicate by URL and normalised title |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Coloured names unreadable on tinted rows | Use the 85% hue + 15% text ink |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Header tabs overflow at 1280px | Group into five areas with a section row |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8 · WORKING METHOD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Restate the plan in 10 lines. Build the data model and engine first, then views in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the order of section 4, then design and colour, then Latest in AI. After each stage,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run it in a headless browser: no console errors, every view renders, storage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round-trips, phone width 390px has no horizontal scroll. Report what you tested and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what you could not test (for example live APIs without network).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9 · DEFINITION OF DONE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[ ] Single index.html opens offline; installs on Android and iPhone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[ ] Every term, flow, guide, lead section and path reference resolves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[ ] Daily session, paths, search, notes, export/import all work after reload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[ ] All 13 themes pass separation and contrast checks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[ ] Zero console errors on desktop and phone; no tap target &lt; 40px on touch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[ ] Latest in AI handles success, partial failure, offline, and hostile links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Do not claim it works before every box is ticked.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Why the prompt is shaped this way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Constraints first</w:t>
      </w:r>
      <w:r>
        <w:t xml:space="preserve">, because they override everything and are the most expensive to fix later (single file, offline, no backend, accessibility).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Content as data</w:t>
      </w:r>
      <w:r>
        <w:t xml:space="preserve"> — one engine renders every term, guide and path, so adding a topic means adding data, not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Rules as numbers</w:t>
      </w:r>
      <w:r>
        <w:t xml:space="preserve"> — intervals, thresholds and rotation orders are stated exactly, so the result behaves predictably.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traps table</w:t>
      </w:r>
      <w:r>
        <w:t xml:space="preserve"> — each row is a real bug from building the original; telling the model up front saves a round of fixing.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definition of done</w:t>
      </w:r>
      <w:r>
        <w:t xml:space="preserve"> with checkboxes gives the model, and you, something concrete to verify against.</w:t>
      </w:r>
    </w:p>
    <w:p>
      <w:pPr>
        <w:pStyle w:val="Heading1"/>
        <w:pageBreakBefore/>
      </w:pPr>
      <w:r>
        <w:t xml:space="preserve">Part B — The universal master prompt</w:t>
      </w:r>
    </w:p>
    <w:p>
      <w:pPr>
        <w:spacing w:after="120"/>
      </w:pPr>
      <w:r>
        <w:t xml:space="preserve">Fill in the variable block, then paste the whole prompt. Every </w:t>
      </w:r>
      <w:r>
        <w:rPr>
          <w:rFonts w:ascii="Consolas" w:cs="Consolas" w:eastAsia="Consolas" w:hAnsi="Consolas"/>
          <w:color w:val="4C1D95"/>
          <w:sz w:val="19"/>
          <w:szCs w:val="19"/>
        </w:rPr>
        <w:t xml:space="preserve">{{VARIABLE}}</w:t>
      </w:r>
      <w:r>
        <w:t xml:space="preserve"> is used somewhere in the prompt body.</w:t>
      </w:r>
    </w:p>
    <w:p>
      <w:pPr>
        <w:pStyle w:val="Heading2"/>
      </w:pPr>
      <w:r>
        <w:t xml:space="preserve">The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1"/>
        <w:gridCol w:w="3648"/>
      </w:tblGrid>
      <w:tr>
        <w:trPr>
          <w:cantSplit/>
          <w:tblHeader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1065"/>
                <w:sz w:val="19"/>
                <w:szCs w:val="19"/>
              </w:rPr>
              <w:t xml:space="preserve">Variable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1065"/>
                <w:sz w:val="19"/>
                <w:szCs w:val="19"/>
              </w:rPr>
              <w:t xml:space="preserve">What to write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1065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{{PORTAL_NAME}}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short, memorable name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Sentinel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{{SUBJECT}}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field or topic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Cybersecurity operations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{{AUDIENCE}}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Who learns, and their starting level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SOC analysts, 2–10 years in IT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{{OUTCOMES}}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3–5 things learners will be able to do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Triage alerts, write detection rules, lead incident response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{{CERTIFICATION}}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Exam or credential to map to,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CompTIA Security+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{{DOMAINS}}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6–13 knowledge areas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Threats, network security, identity, SIEM, incident response…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{{TERM_COUNT}}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How many terms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150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{{FLOWS}}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6–12 processes to animate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Incident response lifecycle, phishing kill chain, SIEM pipeline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{{HANDS_ON}}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Labs or projects, and their technology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Write Sigma rules; build a phishing triage script in Python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{{LEADERSHIP}}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Include a leadership and career section?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{{CASE_STUDIES}}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Number and kind of real cases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15 public breaches with lessons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{{PATHS}}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Guided paths to offer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Foundations; Analyst; Detection engineer; Certification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{{NEWS_SOURCES}}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Live feeds or official sites for "Latest"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CISA advisories, vendor security blogs, Hacker News "security"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{{BRAND}}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Theme set or brand rules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Accenture Light and Dark plus 4 general themes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{{LANGUAGE}}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Language and spelling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English (UK)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{{TIME_PER_DAY}}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Daily study time to design for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 minutes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{{AUTHOR_CREDIT}}</w:t>
            </w:r>
          </w:p>
        </w:tc>
        <w:tc>
          <w:tcPr>
            <w:tcW w:type="dxa" w:w="31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Your credit line, licence and contact for the About page</w:t>
            </w:r>
          </w:p>
        </w:tc>
        <w:tc>
          <w:tcPr>
            <w:tcW w:type="dxa" w:w="3648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Developed by Ravindra Jain · CC BY-NC-SA 4.0 · email on About page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The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4DEF2" w:sz="4"/>
              <w:left w:val="single" w:color="5B21B6" w:sz="24"/>
              <w:bottom w:val="single" w:color="E4DEF2" w:sz="4"/>
              <w:right w:val="single" w:color="E4DEF2" w:sz="4"/>
            </w:tcBorders>
            <w:shd w:fill="F5F3FA" w:color="auto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You are building {{PORTAL_NAME}} — a single-file, offline, mobile-ready learning portal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that coaches {{AUDIENCE}} in {{SUBJECT}} every day, so that they can: {{OUTCOMES}}.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1 · HARD CONSTRAINTS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One self-contained index.html (inline CSS, JS, data); no frameworks or backend;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offline via sw.js; installable via manifest.webmanifest and two icons.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Progress in localStorage (one key, in-memory fallback), with Export/Import JSON.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Escape all text; https-only links with noopener/noreferrer.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Written in {{LANGUAGE}}, plain and practical. Time-sensitive facts carry a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"verified &lt;month&gt;" badge. WCAG AA in every theme; touch targets &gt;= 40px.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Credit: {{AUTHOR_CREDIT}} — the name in the footer of every screen; full details,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licence and a copyable attribution line on one About page; author in file metadata.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2 · CONTENT AS DATA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DOMAINS: {{DOMAINS}}.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About {{TERM_COUNT}} TERMS, each with: definition, analogy, example, deep dive,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"say it in a meeting" line, interview question and answer, related terms, level 1-3.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FLOWS (animated step-by-step SVG diagrams): {{FLOWS}}.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GUIDES grouped Understand / Build / Practise-at-work / Projects, with steps, tables,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code or command blocks labelled "tested" or "untested", and term chips.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Hands-on content: {{HANDS_ON}}.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If {{LEADERSHIP}} = yes: a Lead area with use-case discovery, business-impact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calculator, leading change, a self-assessment, {{CASE_STUDIES}} (each sourced, with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lesson and interview use), mock interviews with a timer and grading prompt, and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career guidance for {{AUDIENCE}}.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QUIZ: about 60 scenario questions linked to terms. CERTIFICATION map: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{{CERTIFICATION}} (skip if none). ROADMAP: 4-5 phases of tasks.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PATHS: {{PATHS}} — ordered steps of term sets, guides, flows and checkpoint quizzes.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3 · RULES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Spaced repetition boxes 1-6, intervals 0,1,3,7,16,35,90 days; Again -&gt; tomorrow;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 new card's first Good -&gt; 3 days; Easy skips a box; known = box &gt;= 2.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- Daily session sized for {{TIME_PER_DAY}}: due cards + up to 5 new from the active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path + 1 scenario question. Path steps tick themselves off.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4 · SECTIONS (five areas, each with a section row)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Today (session, paths, latest) · Learn (atlas, map, cheat sheet, flows) ·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Practise (flashcards, quiz, mock interviews) · Build (guides and projects) ·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Grow (lead if enabled, certification, roadmap). Global search across everything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including personal notes; a drill-down drawer for every term with a notes box.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5 · LATEST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 Refresh button that fetches from browser-accessible public APIs or feeds only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({{NEWS_SOURCES}}), with timeouts, no credentials, no proxies, de-duplication, a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trusted-domain toggle, a trend radar linking headlines to terms, cached results for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offline, plus a dated snapshot and a list of official sources.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6 · DESIGN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Themes: {{BRAND}}. Each theme is a CSS-variable contract with a 12-hue category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palette. Page ground and panels visibly separated (luminance ratio &gt;= 1.15). Every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domain, area, guide group and path has a hue; inside long panels each section gets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its own hue across heading, table header, alternating rows, first-column names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(85% hue + 15% text) and callouts.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7 · TRAPS TO AVOID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Escape "&lt;/script" in embedded data. A new card's first Good must count as learned.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Put colour-coding CSS after component CSS. Make search icons ignore taps.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De-duplicate feed items by URL and title. Test colours only after theme transitions.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8 · METHOD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Restate the plan in 10 lines, then ask at most one clarifying question. Build data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and engine, then views, then design, then Latest. Test each stage in a headless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browser at desktop and 390px phone width. Report what was and wasn't tested.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9 · DONE WHEN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Offline and installable; every reference resolves; session, paths, search, notes and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export/import survive a reload; all themes pass contrast; no console errors; Latest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handles success, partial failure, offline and hostile links. Don't claim it works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before all of these pass.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Worked examples — variable sets for other subjects</w:t>
      </w:r>
    </w:p>
    <w:p>
      <w:pPr>
        <w:spacing w:after="120"/>
      </w:pPr>
      <w:r>
        <w:t xml:space="preserve">Each row shows values for </w:t>
      </w:r>
      <w:r>
        <w:rPr>
          <w:rFonts w:ascii="Consolas" w:cs="Consolas" w:eastAsia="Consolas" w:hAnsi="Consolas"/>
          <w:color w:val="4C1D95"/>
          <w:sz w:val="19"/>
          <w:szCs w:val="19"/>
        </w:rPr>
        <w:t xml:space="preserve">{{AUDIENCE}}</w:t>
      </w:r>
      <w:r>
        <w:t xml:space="preserve">, </w:t>
      </w:r>
      <w:r>
        <w:rPr>
          <w:rFonts w:ascii="Consolas" w:cs="Consolas" w:eastAsia="Consolas" w:hAnsi="Consolas"/>
          <w:color w:val="4C1D95"/>
          <w:sz w:val="19"/>
          <w:szCs w:val="19"/>
        </w:rPr>
        <w:t xml:space="preserve">{{DOMAINS}}</w:t>
      </w:r>
      <w:r>
        <w:t xml:space="preserve">, </w:t>
      </w:r>
      <w:r>
        <w:rPr>
          <w:rFonts w:ascii="Consolas" w:cs="Consolas" w:eastAsia="Consolas" w:hAnsi="Consolas"/>
          <w:color w:val="4C1D95"/>
          <w:sz w:val="19"/>
          <w:szCs w:val="19"/>
        </w:rPr>
        <w:t xml:space="preserve">{{CERTIFICATION}}</w:t>
      </w:r>
      <w:r>
        <w:t xml:space="preserve"> and </w:t>
      </w:r>
      <w:r>
        <w:rPr>
          <w:rFonts w:ascii="Consolas" w:cs="Consolas" w:eastAsia="Consolas" w:hAnsi="Consolas"/>
          <w:color w:val="4C1D95"/>
          <w:sz w:val="19"/>
          <w:szCs w:val="19"/>
        </w:rPr>
        <w:t xml:space="preserve">{{HANDS_ON}}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7"/>
        <w:gridCol w:w="1376"/>
        <w:gridCol w:w="2716"/>
        <w:gridCol w:w="1436"/>
        <w:gridCol w:w="2211"/>
      </w:tblGrid>
      <w:tr>
        <w:trPr>
          <w:cantSplit/>
          <w:tblHeader/>
        </w:trPr>
        <w:tc>
          <w:tcPr>
            <w:tcW w:type="dxa" w:w="128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1065"/>
                <w:sz w:val="19"/>
                <w:szCs w:val="19"/>
              </w:rPr>
              <w:t xml:space="preserve">Subject</w:t>
            </w:r>
          </w:p>
        </w:tc>
        <w:tc>
          <w:tcPr>
            <w:tcW w:type="dxa" w:w="137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1065"/>
                <w:sz w:val="19"/>
                <w:szCs w:val="19"/>
              </w:rPr>
              <w:t xml:space="preserve">Audience</w:t>
            </w:r>
          </w:p>
        </w:tc>
        <w:tc>
          <w:tcPr>
            <w:tcW w:type="dxa" w:w="271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1065"/>
                <w:sz w:val="19"/>
                <w:szCs w:val="19"/>
              </w:rPr>
              <w:t xml:space="preserve">Domains (sample)</w:t>
            </w:r>
          </w:p>
        </w:tc>
        <w:tc>
          <w:tcPr>
            <w:tcW w:type="dxa" w:w="143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1065"/>
                <w:sz w:val="19"/>
                <w:szCs w:val="19"/>
              </w:rPr>
              <w:t xml:space="preserve">Certification</w:t>
            </w:r>
          </w:p>
        </w:tc>
        <w:tc>
          <w:tcPr>
            <w:tcW w:type="dxa" w:w="22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1065"/>
                <w:sz w:val="19"/>
                <w:szCs w:val="19"/>
              </w:rPr>
              <w:t xml:space="preserve">Hands-on</w:t>
            </w:r>
          </w:p>
        </w:tc>
      </w:tr>
      <w:tr>
        <w:trPr>
          <w:cantSplit/>
          <w:tblHeader w:val="false"/>
        </w:trPr>
        <w:tc>
          <w:tcPr>
            <w:tcW w:type="dxa" w:w="128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Cybersecurity operations</w:t>
            </w:r>
          </w:p>
        </w:tc>
        <w:tc>
          <w:tcPr>
            <w:tcW w:type="dxa" w:w="137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SOC analysts</w:t>
            </w:r>
          </w:p>
        </w:tc>
        <w:tc>
          <w:tcPr>
            <w:tcW w:type="dxa" w:w="271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Threats, identity, network, SIEM, detection, incident response, cloud security</w:t>
            </w:r>
          </w:p>
        </w:tc>
        <w:tc>
          <w:tcPr>
            <w:tcW w:type="dxa" w:w="143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CompTIA Security+</w:t>
            </w:r>
          </w:p>
        </w:tc>
        <w:tc>
          <w:tcPr>
            <w:tcW w:type="dxa" w:w="22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Sigma rules, log triage scripts</w:t>
            </w:r>
          </w:p>
        </w:tc>
      </w:tr>
      <w:tr>
        <w:trPr>
          <w:cantSplit/>
          <w:tblHeader w:val="false"/>
        </w:trPr>
        <w:tc>
          <w:tcPr>
            <w:tcW w:type="dxa" w:w="128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Cloud architecture</w:t>
            </w:r>
          </w:p>
        </w:tc>
        <w:tc>
          <w:tcPr>
            <w:tcW w:type="dxa" w:w="137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Infrastructure engineers</w:t>
            </w:r>
          </w:p>
        </w:tc>
        <w:tc>
          <w:tcPr>
            <w:tcW w:type="dxa" w:w="271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Compute, storage, networking, IAM, cost, resilience, IaC</w:t>
            </w:r>
          </w:p>
        </w:tc>
        <w:tc>
          <w:tcPr>
            <w:tcW w:type="dxa" w:w="143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AWS Solutions Architect – Associate</w:t>
            </w:r>
          </w:p>
        </w:tc>
        <w:tc>
          <w:tcPr>
            <w:tcW w:type="dxa" w:w="22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Terraform labs, a three-tier deployment</w:t>
            </w:r>
          </w:p>
        </w:tc>
      </w:tr>
      <w:tr>
        <w:trPr>
          <w:cantSplit/>
          <w:tblHeader w:val="false"/>
        </w:trPr>
        <w:tc>
          <w:tcPr>
            <w:tcW w:type="dxa" w:w="128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IT service management</w:t>
            </w:r>
          </w:p>
        </w:tc>
        <w:tc>
          <w:tcPr>
            <w:tcW w:type="dxa" w:w="137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Service desk and NOC staff</w:t>
            </w:r>
          </w:p>
        </w:tc>
        <w:tc>
          <w:tcPr>
            <w:tcW w:type="dxa" w:w="271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Service value system, incident, problem, change, SLAs, CMDB, continual improvement</w:t>
            </w:r>
          </w:p>
        </w:tc>
        <w:tc>
          <w:tcPr>
            <w:tcW w:type="dxa" w:w="143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ITIL 4 Foundation</w:t>
            </w:r>
          </w:p>
        </w:tc>
        <w:tc>
          <w:tcPr>
            <w:tcW w:type="dxa" w:w="22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Write a major-incident runbook; design an SLA dashboard</w:t>
            </w:r>
          </w:p>
        </w:tc>
      </w:tr>
      <w:tr>
        <w:trPr>
          <w:cantSplit/>
          <w:tblHeader w:val="false"/>
        </w:trPr>
        <w:tc>
          <w:tcPr>
            <w:tcW w:type="dxa" w:w="128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 analytics</w:t>
            </w:r>
          </w:p>
        </w:tc>
        <w:tc>
          <w:tcPr>
            <w:tcW w:type="dxa" w:w="137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Analysts moving from Excel</w:t>
            </w:r>
          </w:p>
        </w:tc>
        <w:tc>
          <w:tcPr>
            <w:tcW w:type="dxa" w:w="271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 types, SQL, pandas, visualisation, statistics, storytelling</w:t>
            </w:r>
          </w:p>
        </w:tc>
        <w:tc>
          <w:tcPr>
            <w:tcW w:type="dxa" w:w="143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Microsoft PL-300</w:t>
            </w:r>
          </w:p>
        </w:tc>
        <w:tc>
          <w:tcPr>
            <w:tcW w:type="dxa" w:w="22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SQL exercises, a pandas notebook, a dashboard</w:t>
            </w:r>
          </w:p>
        </w:tc>
      </w:tr>
      <w:tr>
        <w:trPr>
          <w:cantSplit/>
          <w:tblHeader w:val="false"/>
        </w:trPr>
        <w:tc>
          <w:tcPr>
            <w:tcW w:type="dxa" w:w="128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Networking</w:t>
            </w:r>
          </w:p>
        </w:tc>
        <w:tc>
          <w:tcPr>
            <w:tcW w:type="dxa" w:w="137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Junior network engineers</w:t>
            </w:r>
          </w:p>
        </w:tc>
        <w:tc>
          <w:tcPr>
            <w:tcW w:type="dxa" w:w="271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OSI, IP and subnetting, routing, switching, wireless, security, automation</w:t>
            </w:r>
          </w:p>
        </w:tc>
        <w:tc>
          <w:tcPr>
            <w:tcW w:type="dxa" w:w="143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Cisco CCNA</w:t>
            </w:r>
          </w:p>
        </w:tc>
        <w:tc>
          <w:tcPr>
            <w:tcW w:type="dxa" w:w="22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Subnetting drills, Python network automation</w:t>
            </w:r>
          </w:p>
        </w:tc>
      </w:tr>
      <w:tr>
        <w:trPr>
          <w:cantSplit/>
          <w:tblHeader w:val="false"/>
        </w:trPr>
        <w:tc>
          <w:tcPr>
            <w:tcW w:type="dxa" w:w="128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137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Team leads</w:t>
            </w:r>
          </w:p>
        </w:tc>
        <w:tc>
          <w:tcPr>
            <w:tcW w:type="dxa" w:w="271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Scope, schedule, cost, risk, stakeholders, agile, governance</w:t>
            </w:r>
          </w:p>
        </w:tc>
        <w:tc>
          <w:tcPr>
            <w:tcW w:type="dxa" w:w="143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PMP</w:t>
            </w:r>
          </w:p>
        </w:tc>
        <w:tc>
          <w:tcPr>
            <w:tcW w:type="dxa" w:w="22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project charter, a risk register</w:t>
            </w:r>
          </w:p>
        </w:tc>
      </w:tr>
      <w:tr>
        <w:trPr>
          <w:cantSplit/>
          <w:tblHeader w:val="false"/>
        </w:trPr>
        <w:tc>
          <w:tcPr>
            <w:tcW w:type="dxa" w:w="1287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Team onboarding</w:t>
            </w:r>
          </w:p>
        </w:tc>
        <w:tc>
          <w:tcPr>
            <w:tcW w:type="dxa" w:w="137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joiners in one team</w:t>
            </w:r>
          </w:p>
        </w:tc>
        <w:tc>
          <w:tcPr>
            <w:tcW w:type="dxa" w:w="271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Our systems, tools, runbooks, escalation, culture</w:t>
            </w:r>
          </w:p>
        </w:tc>
        <w:tc>
          <w:tcPr>
            <w:tcW w:type="dxa" w:w="1436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21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Shadow-a-shift checklist, first-week tasks</w:t>
            </w:r>
          </w:p>
        </w:tc>
      </w:tr>
    </w:tbl>
    <w:p>
      <w:pPr>
        <w:spacing w:after="80" w:before="0"/>
      </w:pPr>
    </w:p>
    <w:p>
      <w:pPr>
        <w:pBdr>
          <w:left w:val="single" w:color="A78BFA" w:sz="12" w:space="8"/>
        </w:pBdr>
        <w:spacing w:after="120" w:before="80"/>
        <w:ind w:left="360"/>
      </w:pPr>
      <w:r>
        <w:rPr>
          <w:i/>
          <w:iCs/>
          <w:color w:val="4B4660"/>
        </w:rPr>
        <w:t xml:space="preserve">Tip: for onboarding or internal topics, paste your team's runbooks or wiki pages after the prompt and add: "Build TERMS and GUIDES only from the attached material; mark anything not in it as [to verify]."</w:t>
      </w:r>
    </w:p>
    <w:p>
      <w:pPr>
        <w:pStyle w:val="Heading1"/>
      </w:pPr>
      <w:r>
        <w:t xml:space="preserve">Part C — Follow-up prompts</w:t>
      </w:r>
    </w:p>
    <w:p>
      <w:pPr>
        <w:spacing w:after="120"/>
      </w:pPr>
      <w:r>
        <w:t xml:space="preserve">Use one per message once the first build works.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5"/>
        <w:gridCol w:w="6881"/>
      </w:tblGrid>
      <w:tr>
        <w:trPr>
          <w:cantSplit/>
          <w:tblHeader/>
        </w:trPr>
        <w:tc>
          <w:tcPr>
            <w:tcW w:type="dxa" w:w="2145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1065"/>
                <w:sz w:val="19"/>
                <w:szCs w:val="19"/>
              </w:rPr>
              <w:t xml:space="preserve">Goal</w:t>
            </w:r>
          </w:p>
        </w:tc>
        <w:tc>
          <w:tcPr>
            <w:tcW w:type="dxa" w:w="688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1065"/>
                <w:sz w:val="19"/>
                <w:szCs w:val="19"/>
              </w:rPr>
              <w:t xml:space="preserve">Prompt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a topic</w:t>
            </w:r>
          </w:p>
        </w:tc>
        <w:tc>
          <w:tcPr>
            <w:tcW w:type="dxa" w:w="688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15 terms 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&lt;topic&gt;</w:t>
            </w:r>
            <w:r>
              <w:rPr>
                <w:sz w:val="18"/>
                <w:szCs w:val="18"/>
              </w:rPr>
              <w:t xml:space="preserve"> to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&lt;domain&gt;</w:t>
            </w:r>
            <w:r>
              <w:rPr>
                <w:sz w:val="18"/>
                <w:szCs w:val="18"/>
              </w:rPr>
              <w:t xml:space="preserve"> domain with every field filled, link them to existing terms, and add them to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&lt;path&gt;</w:t>
            </w:r>
            <w:r>
              <w:rPr>
                <w:sz w:val="18"/>
                <w:szCs w:val="18"/>
              </w:rPr>
              <w:t xml:space="preserve"> path.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a flow</w:t>
            </w:r>
          </w:p>
        </w:tc>
        <w:tc>
          <w:tcPr>
            <w:tcW w:type="dxa" w:w="688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an animated flow showing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&lt;process&gt;</w:t>
            </w:r>
            <w:r>
              <w:rPr>
                <w:sz w:val="18"/>
                <w:szCs w:val="18"/>
              </w:rPr>
              <w:t xml:space="preserve"> in 6–8 steps, with each node linked to a term, and embed it in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&lt;guide&gt;</w:t>
            </w:r>
            <w:r>
              <w:rPr>
                <w:sz w:val="18"/>
                <w:szCs w:val="18"/>
              </w:rPr>
              <w:t xml:space="preserve"> guide.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a guide</w:t>
            </w:r>
          </w:p>
        </w:tc>
        <w:tc>
          <w:tcPr>
            <w:tcW w:type="dxa" w:w="688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a Build-lab guide 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&lt;task&gt;</w:t>
            </w:r>
            <w:r>
              <w:rPr>
                <w:sz w:val="18"/>
                <w:szCs w:val="18"/>
              </w:rPr>
              <w:t xml:space="preserve"> with steps, one table, one code block and term chips. Label the code as untested unless you ran it.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case studies</w:t>
            </w:r>
          </w:p>
        </w:tc>
        <w:tc>
          <w:tcPr>
            <w:tcW w:type="dxa" w:w="688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5 real, publicly reported case studies 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&lt;theme&gt;</w:t>
            </w:r>
            <w:r>
              <w:rPr>
                <w:sz w:val="18"/>
                <w:szCs w:val="18"/>
              </w:rPr>
              <w:t xml:space="preserve">, each with a source, lesson, leader takeaway and interview use. Don't invent figures.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Refresh facts</w:t>
            </w:r>
          </w:p>
        </w:tc>
        <w:tc>
          <w:tcPr>
            <w:tcW w:type="dxa" w:w="688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List every item marked time-sensitive, check each against current official sources, and update the ones that changed with a new verified date.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Re-theme</w:t>
            </w:r>
          </w:p>
        </w:tc>
        <w:tc>
          <w:tcPr>
            <w:tcW w:type="dxa" w:w="688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7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a theme matching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&lt;brand&gt;</w:t>
            </w:r>
            <w:r>
              <w:rPr>
                <w:sz w:val="18"/>
                <w:szCs w:val="18"/>
              </w:rPr>
              <w:t xml:space="preserve"> rules, keep all contrast checks passing, and show it in the theme picker.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Audit</w:t>
            </w:r>
          </w:p>
        </w:tc>
        <w:tc>
          <w:tcPr>
            <w:tcW w:type="dxa" w:w="6881"/>
            <w:tcBorders>
              <w:top w:val="single" w:color="D6D3E0" w:sz="4"/>
              <w:left w:val="single" w:color="D6D3E0" w:sz="4"/>
              <w:bottom w:val="single" w:color="D6D3E0" w:sz="4"/>
              <w:right w:val="single" w:color="D6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 the whole portal for broken references, contrast failures, touch targets under 40px and console errors at 390px and 1440px. Fix and report.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Part D — Checklist before sharing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Opens from </w:t>
      </w:r>
      <w:r>
        <w:rPr>
          <w:rFonts w:ascii="Consolas" w:cs="Consolas" w:eastAsia="Consolas" w:hAnsi="Consolas"/>
          <w:color w:val="4C1D95"/>
          <w:sz w:val="19"/>
          <w:szCs w:val="19"/>
        </w:rPr>
        <w:t xml:space="preserve">index.html</w:t>
      </w:r>
      <w:r>
        <w:t xml:space="preserve"> with no internet after the first visit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Installs on a phone and keeps progress after closing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Today session, paths, search and notes work, and survive a reload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Export, then Import on another browser, restores progress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Every theme is readable; sections inside panels show different colours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No console errors on desktop or phone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Time-sensitive facts carry a verified date; code blocks are labelled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Public hosting reviewed for personal or confidential content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Author credit in the footer, About page and file metadata; licence file in the repository</w:t>
      </w:r>
    </w:p>
    <w:p>
      <w:pPr>
        <w:pStyle w:val="Heading1"/>
      </w:pPr>
      <w:r>
        <w:t xml:space="preserve">Credits and licence</w:t>
      </w:r>
    </w:p>
    <w:p>
      <w:pPr>
        <w:spacing w:after="120"/>
      </w:pPr>
      <w:r>
        <w:rPr>
          <w:b/>
          <w:bCs/>
        </w:rPr>
        <w:t xml:space="preserve">Developed by Ravindra Jain.</w:t>
      </w:r>
    </w:p>
    <w:p>
      <w:pPr>
        <w:spacing w:after="120"/>
      </w:pPr>
      <w:r>
        <w:rPr>
          <w:i/>
          <w:iCs/>
        </w:rPr>
        <w:t xml:space="preserve">Learn, share, innovate — build together with AI.</w:t>
      </w:r>
      <w:r>
        <w:t xml:space="preserve"> Thank you.</w:t>
      </w:r>
    </w:p>
    <w:p>
      <w:pPr>
        <w:spacing w:after="120"/>
      </w:pPr>
      <w:r>
        <w:t xml:space="preserve">© 2026 Ravindra Jain. This document is licensed under CC BY-NC-SA 4.0 (https://creativecommons.org/licenses/by-nc-sa/4.0/). You may share and adapt it for non-commercial purposes with credit to "Ravindra Jain", sharing adaptations under the same licence.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B86A0"/>
        <w:sz w:val="16"/>
        <w:szCs w:val="16"/>
      </w:rPr>
      <w:t xml:space="preserve">© 2026 Ravindra Jain · CC BY-NC-SA 4.0    ·    Page </w:t>
    </w:r>
    <w:r>
      <w:rPr>
        <w:color w:val="8B86A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B86A0"/>
        <w:sz w:val="16"/>
        <w:szCs w:val="16"/>
      </w:rPr>
      <w:t xml:space="preserve"> of </w:t>
    </w:r>
    <w:r>
      <w:rPr>
        <w:color w:val="8B86A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B86A0"/>
        <w:sz w:val="16"/>
        <w:szCs w:val="16"/>
      </w:rPr>
      <w:t xml:space="preserve">AI Gurukul RJ777 — Master Prompt · v7.0 · Developed by Ravindra Jain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B2E"/>
        <w:sz w:val="21"/>
        <w:szCs w:val="21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2E1065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C4B5FD" w:sz="8" w:space="4"/>
      </w:pBdr>
      <w:spacing w:after="140" w:before="320"/>
      <w:outlineLvl w:val="0"/>
    </w:pPr>
    <w:rPr>
      <w:rFonts w:ascii="Calibri" w:cs="Calibri" w:eastAsia="Calibri" w:hAnsi="Calibri"/>
      <w:b/>
      <w:bCs/>
      <w:color w:val="5B21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4C1D9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Gurukul RJ777 — Master Prompt</dc:title>
  <dc:creator>Ravindra Jain</dc:creator>
  <dc:description>Developed by Ravindra Jain. © 2026 · CC BY-NC-SA 4.0</dc:description>
  <cp:lastModifiedBy>Un-named</cp:lastModifiedBy>
  <cp:revision>1</cp:revision>
  <dcterms:created xsi:type="dcterms:W3CDTF">2026-10-24T12:35:44.481Z</dcterms:created>
  <dcterms:modified xsi:type="dcterms:W3CDTF">2026-10-24T12:35:44.481Z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