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</w:rPr>
        <w:t xml:space="preserve">Diccionario de Base de Datos y UI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Brotar — Plataforma de Campañas y Financiamiento Colaborativo</w:t>
      </w:r>
    </w:p>
    <w:p>
      <w:pPr>
        <w:pStyle w:val="Heading1"/>
        <w:pBdr>
          <w:bottom w:val="single" w:color="444444" w:sz="6" w:space="4"/>
        </w:pBdr>
        <w:spacing w:after="200" w:before="400"/>
      </w:pPr>
      <w:r>
        <w:rPr>
          <w:rFonts w:ascii="Calibri" w:cs="Calibri" w:eastAsia="Calibri" w:hAnsi="Calibri"/>
          <w:b/>
          <w:bCs/>
        </w:rPr>
        <w:t xml:space="preserve">Módulo de Identidad, Usuarios y Verificación (KYC / KYB)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</w:rPr>
        <w:t xml:space="preserve">Tabla: users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global e inmutable del usuario en el sistema.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 (Unique, 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electrónico principal. Utilizado para inicio de sesión y recepción de notificaciones SMTP.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 criptográfico de la contraseña generado con Bcrypt y salt dinámicamente calculado (10 iteraciones).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VARCHAR(160)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y apellidos completos del titular o representante legal. Se imprime en comprobantes y perfil público.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teléfono con código de país, validado mediante expresiones regulares.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user_role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'sponsor'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 en la plataforma: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(administrador),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creator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(creador de proyectos),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sponsor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(patrocinador).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'active'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operativo de la cuenta: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'active'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(habilitada),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'suspended'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(bloqueada por auditoría),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'closed'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de la imagen de perfil del usuario alojada en el almacenamiento de medios.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oficial de identificación (Cédula de Identidad, NIT o Pasaporte).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'CI'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documento presentado: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'CI'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'NIT'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'PASSPORT'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'FOREIGN'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organization_name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VARCHAR(160)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comercial o institucional cuando el usuario opera como persona jurídica.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kyc_status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kyc_status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'pending'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del expediente de identidad: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'pending'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'verified'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'rejected'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'requires_documentation'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kyc_submitted_at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y hora exacta en la que el usuario envió sus documentos para verificación.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kyc_reviewed_at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y hora en la que el oficial de compliance auditó el expediente.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kyc_rejection_reason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 formal de rechazo visible para que el usuario proceda a corregir la información.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kyc_notes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Notas internas y bitácora privada del auditor (no visible para el creador).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document_front_url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de la fotografía frontal del documento, sanitizada mediante HTML5 Canvas y verificada con Magic Bytes.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document_back_url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del reverso del documento de identidad con validación binaria contra archivos maliciosos.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Marcas de tiempo de creación y modificación de registro.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Propósito: </w:t>
      </w:r>
      <w:r>
        <w:rPr>
          <w:rFonts w:ascii="Calibri" w:cs="Calibri" w:eastAsia="Calibri" w:hAnsi="Calibri"/>
          <w:sz w:val="21"/>
          <w:szCs w:val="21"/>
        </w:rPr>
        <w:t xml:space="preserve">Registro de personas jurídicas (ONGs, fundaciones, empresas sostenibles) que respaldan proyectos.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Mapeo UI: </w:t>
      </w:r>
      <w:r>
        <w:rPr>
          <w:rFonts w:ascii="Calibri" w:cs="Calibri" w:eastAsia="Calibri" w:hAnsi="Calibri"/>
          <w:sz w:val="21"/>
          <w:szCs w:val="21"/>
        </w:rPr>
        <w:t xml:space="preserve">Registro Organizacional (Pantalla 08), Verificación KYB (Paso 7 del Asistente), Insignia de organización verificada en Detalle Público.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de la persona jurídica.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legal_name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VARCHAR(200)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 social legalmente constituida (ej. "Fundación Bosques Nativos SRL").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VARCHAR(60) (Unique, 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Identificación Tributaria (NIT oficial).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Dirección fiscal y domicilio legal de la entidad.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registro en la plataforma.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Propósito: </w:t>
      </w:r>
      <w:r>
        <w:rPr>
          <w:rFonts w:ascii="Calibri" w:cs="Calibri" w:eastAsia="Calibri" w:hAnsi="Calibri"/>
          <w:sz w:val="21"/>
          <w:szCs w:val="21"/>
        </w:rPr>
        <w:t xml:space="preserve">Tabla asociativa N:M que define miembros y permisos de gobierno institucional.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Mapeo UI: </w:t>
      </w:r>
      <w:r>
        <w:rPr>
          <w:rFonts w:ascii="Calibri" w:cs="Calibri" w:eastAsia="Calibri" w:hAnsi="Calibri"/>
          <w:sz w:val="21"/>
          <w:szCs w:val="21"/>
        </w:rPr>
        <w:t xml:space="preserve">Administración de Equipos y autorización para publicar campañas a nombre de la entidad.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organizations.id)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Organización a la que pertenece el miembro (parte de la clave primaria compuesta).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users.id)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miembro vinculado (parte de la clave primaria compuesta).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role_in_org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VARCHAR(60)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Cargo institucional: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'OWNER'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'LEGAL_REPRESENTATIVE'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'ADMIN'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'MEMBER'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incorporación al equipo.</w:t>
            </w:r>
          </w:p>
        </w:tc>
      </w:tr>
    </w:tbl>
    <w:p>
      <w:pPr>
        <w:pStyle w:val="Heading1"/>
        <w:pBdr>
          <w:bottom w:val="single" w:color="444444" w:sz="6" w:space="4"/>
        </w:pBdr>
        <w:spacing w:after="200" w:before="400"/>
      </w:pPr>
      <w:r>
        <w:rPr>
          <w:rFonts w:ascii="Calibri" w:cs="Calibri" w:eastAsia="Calibri" w:hAnsi="Calibri"/>
          <w:b/>
          <w:bCs/>
        </w:rPr>
        <w:t xml:space="preserve">Módulo de Campañas y Asistente de Creación (8 Pasos)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</w:rPr>
        <w:t xml:space="preserve">Tabla: campaigns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del proyecto de campaña.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owner_user_id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users.id)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creador responsable legal y operativo de la campaña.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organizations.id)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Organización titular en caso de que la campaña sea de una persona jurídica.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campaign_type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campaign_type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'donation'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campaña: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'donation'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(donación pura),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'reward'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(con recompensas),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'presale'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(preventa verde).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funding_model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funding_model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'flexible'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Modelo de fondos: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'flexible'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(recibe lo alcanzado) 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'all_or_nothing'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(todo o nada al 100% de la meta).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VARCHAR(200)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Título principal público del proyecto.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VARCHAR(200) (Unique, 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amigable y legible para compartir públicamente (ej. reforestacion-valle-2026).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campaign_category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Categoría temática: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'social'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'ambiental'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'productivo'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'educacion'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'salud'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'cultura'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'otro'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VARCHAR(160)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Ubicación geográfica de ejecución del proyecto (ej. "Tiquipaya, Cochabamba, Bolivia").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short_summary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Resumen ejecutivo para tarjetas de exploración y resultados de búsqueda.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Imagen de portada principal de alta resolución optimizada para web.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video_url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Enlace a video promocional (YouTube o Vimeo).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 / solution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Descripción narrativa del problema socio-ambiental y la solución técnica propuesta (Paso 3 del wizard).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beneficiaries / expected_impact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Detalle de población/ecosistema beneficiado y metas de impacto cualitativo.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goal_amount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 económica total a recaudar.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current_amount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 monetario acumulado de aportes confirmados en tiempo real.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VARCHAR(6)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'BOB'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de la moneda de recaudación (BOB = Bolivianos).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duration_days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Duración de la campaña en días calendario.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start_date / end_date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Fechas de inicio y conclusión de la fase de recaudación.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campaign_status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'draft'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del ciclo de vida: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'draft'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'pending_review'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'approved'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'changes_requested'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'rejected'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'published'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'completed'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'cancelled'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builder_step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SMALLINT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Paso actual del asistente del creador (1 al 8); permite retomar borradores inconclusos.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 de tiempo de la publicación oficial de la campaña.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cancellation_reason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 documentado en caso de cancelación administrativa o voluntaria.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Propósito: </w:t>
      </w:r>
      <w:r>
        <w:rPr>
          <w:rFonts w:ascii="Calibri" w:cs="Calibri" w:eastAsia="Calibri" w:hAnsi="Calibri"/>
          <w:sz w:val="21"/>
          <w:szCs w:val="21"/>
        </w:rPr>
        <w:t xml:space="preserve">Desglose detallado del presupuesto por rubros para validar cuadratura contra la meta.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Mapeo UI: </w:t>
      </w:r>
      <w:r>
        <w:rPr>
          <w:rFonts w:ascii="Calibri" w:cs="Calibri" w:eastAsia="Calibri" w:hAnsi="Calibri"/>
          <w:sz w:val="21"/>
          <w:szCs w:val="21"/>
        </w:rPr>
        <w:t xml:space="preserve">Paso 4 del Asistente (Plan y Presupuesto), Evaluación del Revisor, Rendición de Cuentas.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de la partida presupuestaria.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campaigns.id)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Campaña a la que corresponde el gasto planificado.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VARCHAR(80)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Categoría contable: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'Materiales'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'Personal'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'Logística'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'Equipamiento'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etc.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VARCHAR(300)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Concepto puntual del gasto (ej. "Compra de 1,000 plantines de pino nativo").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Cantidad física requerida de unidades.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estimado unitario.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planned_amount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 total presupuestado para la partida. La sumatoria global debe cuadrar con la meta económica.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Posición relativa en la tabla de presupuesto.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Cotizaciones de respaldo, proveedores tentativos o aclaraciones de costo.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Propósito: </w:t>
      </w:r>
      <w:r>
        <w:rPr>
          <w:rFonts w:ascii="Calibri" w:cs="Calibri" w:eastAsia="Calibri" w:hAnsi="Calibri"/>
          <w:sz w:val="21"/>
          <w:szCs w:val="21"/>
        </w:rPr>
        <w:t xml:space="preserve">Cronograma de trabajo operativo y seguimiento de hitos de ejecución.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Mapeo UI: </w:t>
      </w:r>
      <w:r>
        <w:rPr>
          <w:rFonts w:ascii="Calibri" w:cs="Calibri" w:eastAsia="Calibri" w:hAnsi="Calibri"/>
          <w:sz w:val="21"/>
          <w:szCs w:val="21"/>
        </w:rPr>
        <w:t xml:space="preserve">Paso 4 del Asistente (Cronograma) y línea de tiempo pública de avance.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de la actividad.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campaigns.id)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Campaña a la que pertenece la actividad.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VARCHAR(200)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descriptivo de la actividad (ej. "Instalación de cerco perimetral").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Detalle pormenorizado de las acciones comprometidas.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responsible_name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VARCHAR(160)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 o equipo a cargo de la ejecución.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planned_start_on / planned_end_on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Fechas estimadas de inicio y culminación de la tarea.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progress_status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'planned'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 avance: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'planned'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'in_progress'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'completed'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'delayed'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'cancelled'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progress_percent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 de progreso reportado (0 a 100%).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Propósito: </w:t>
      </w:r>
      <w:r>
        <w:rPr>
          <w:rFonts w:ascii="Calibri" w:cs="Calibri" w:eastAsia="Calibri" w:hAnsi="Calibri"/>
          <w:sz w:val="21"/>
          <w:szCs w:val="21"/>
        </w:rPr>
        <w:t xml:space="preserve">Catálogo de incentivos, recompensas y preventas con control de inventario y stock.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Mapeo UI: </w:t>
      </w:r>
      <w:r>
        <w:rPr>
          <w:rFonts w:ascii="Calibri" w:cs="Calibri" w:eastAsia="Calibri" w:hAnsi="Calibri"/>
          <w:sz w:val="21"/>
          <w:szCs w:val="21"/>
        </w:rPr>
        <w:t xml:space="preserve">Paso 6 del Asistente (Recompensas), Seleccionar Aporte (Pantalla 03 de Patrocinador), Checkout.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del nivel de recompensa.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campaigns.id)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Campaña a la que se asocia la recompensa.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VARCHAR(200)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Título del paquete (ej. "Pack Semillas Nativas + Certificado Digital").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Detalle exacto de todos los artículos o beneficios que incluye.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min_amount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Aporte monetario mínimo requerido para desbloquear la recompensa.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quantity_total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o cupo máximo disponible (NULL = disponibilidad ilimitada).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quantity_claimed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Contador automático de unidades adjudicadas tras pagos confirmados.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estimated_delivery_on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estimada de despacho o entrega al patrocinador.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Fotografía representativa del producto o incentivo.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Bandera de disponibilidad para pausar la oferta de una recompensa sin eliminarla.</w:t>
            </w:r>
          </w:p>
        </w:tc>
      </w:tr>
    </w:tbl>
    <w:p>
      <w:pPr>
        <w:pStyle w:val="Heading1"/>
        <w:pBdr>
          <w:bottom w:val="single" w:color="444444" w:sz="6" w:space="4"/>
        </w:pBdr>
        <w:spacing w:after="200" w:before="400"/>
      </w:pPr>
      <w:r>
        <w:rPr>
          <w:rFonts w:ascii="Calibri" w:cs="Calibri" w:eastAsia="Calibri" w:hAnsi="Calibri"/>
          <w:b/>
          <w:bCs/>
        </w:rPr>
        <w:t xml:space="preserve">Módulo de Auditoría y Revisión de Campañas (Reviewer)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Propósito: </w:t>
      </w:r>
      <w:r>
        <w:rPr>
          <w:rFonts w:ascii="Calibri" w:cs="Calibri" w:eastAsia="Calibri" w:hAnsi="Calibri"/>
          <w:sz w:val="21"/>
          <w:szCs w:val="21"/>
        </w:rPr>
        <w:t xml:space="preserve">Flujo de auditoría interna por rondas y gestión de observaciones por sección del wizard.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Mapeo UI: </w:t>
      </w:r>
      <w:r>
        <w:rPr>
          <w:rFonts w:ascii="Calibri" w:cs="Calibri" w:eastAsia="Calibri" w:hAnsi="Calibri"/>
          <w:sz w:val="21"/>
          <w:szCs w:val="21"/>
        </w:rPr>
        <w:t xml:space="preserve">Bandeja de Revisión del Auditor (Pantalla 08 de Admin) y Lista de Correcciones del Creador (Paso 8 del Asistente).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00"/>
      </w:tblGrid>
      <w:tr>
        <w:trPr>
          <w:tblHeader/>
        </w:trP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 / 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campaign_reviews.id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de la ronda de revisión.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campaign_reviews.round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SMALLINT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correlativo de evaluación (1, 2, 3...).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campaign_reviews.decision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review_decision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Dictamen del auditor: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'pending'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'approved'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'changes_requested'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'rejected'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campaign_reviews.summary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Resumen ejecutivo de la evaluación emitido por el revisor.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observations.section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Sección observada del wizard (ej.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'budget'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'story'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'rewards'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observations.severity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observation_severity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Nivel de criticidad: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'INFO'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(sugerencia),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'MINOR'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(ajuste leve),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'BLOCKER'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(bloquea la aprobación).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observations.status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observation_status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 resolución: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'OPEN'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(pendiente),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'ADDRESSED'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(corregido por creador),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'ACCEPTED'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observations.message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Indicación específica con las instrucciones de corrección para el creador.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observations.resolution_note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Explicación o descargo redactado por el creador tras subsanar la observación.</w:t>
            </w:r>
          </w:p>
        </w:tc>
      </w:tr>
    </w:tbl>
    <w:p>
      <w:pPr>
        <w:pStyle w:val="Heading1"/>
        <w:pBdr>
          <w:bottom w:val="single" w:color="444444" w:sz="6" w:space="4"/>
        </w:pBdr>
        <w:spacing w:after="200" w:before="400"/>
      </w:pPr>
      <w:r>
        <w:rPr>
          <w:rFonts w:ascii="Calibri" w:cs="Calibri" w:eastAsia="Calibri" w:hAnsi="Calibri"/>
          <w:b/>
          <w:bCs/>
        </w:rPr>
        <w:t xml:space="preserve">Módulo de Finanzas, Aportes, Pasarela y Desembolsos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</w:rPr>
        <w:t xml:space="preserve">Tabla: contributions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del registro de aporte.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reference_code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VARCHAR(30) (Unique, 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legible de recibo oficial de transacción (ej. BRT-C-0004521).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campaigns.id)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Campaña que recibe el financiamiento.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sponsor_user_id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users.id)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Patrocinador que aporta el dinero.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reward_id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campaign_rewards.id)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Nivel de recompensa seleccionado por el aportante (opcional).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Importe bruto total transferido por el patrocinador.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DECIMAL(5,2)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5.00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 de comisión de servicio de Brotar (5.00%).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commission_amount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 monetario retenido por la plataforma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amount * 0.05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net_amount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 neto efectivo asignado a la ejecución del proyecto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amount - commission_amount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VARCHAR(6) (Not Null)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'BOB'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Moneda de la transacción.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contribution_status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'pending'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transaccional: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'pending'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'confirmed'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'expired'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'failed'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'refunded'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is_anonymous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Oculta el nombre del patrocinador en el muro público de aportantes si 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supporter_message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Mensaje de felicitación o respaldo emitido por el patrocinador durante el checkout.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Método de pago empleado: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'QR Simple'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'Tarjeta de Débito/Crédito'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'Transferencia'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gateway_reference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VARCHAR(200) (Unique)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de transacción emitido por la pasarela de pagos.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paid_at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y hora exacta en la que el pago fue acreditado.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00"/>
      </w:tblGrid>
      <w:tr>
        <w:trPr>
          <w:tblHeader/>
        </w:trP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 / 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payout_accounts.bank_name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VARCHAR(160)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Entidad bancaria destino (ej. "Banco Unión", "Banco BCP").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payout_accounts.account_holder_name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Titular de la cuenta verificado por compliance contra el carnet/NIT.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payout_accounts.account_number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cuenta bancaria nacional para abono de fondos.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payout_accounts.status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payout_account_status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 verificación bancaria: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'pending'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'verified'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'rejected'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disbursements.disbursement_number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VARCHAR(30) (Unique)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formal de orden de transferencia interbancaria (ej. BRT-P-000084).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disbursements.gross_amount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bruto recaudado objeto de liquidación.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disbursements.net_amount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 neto final transferido al creador tras descontar la comisión de Brotar.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disbursements.status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disbursement_status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del giro bancario: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'pending'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'approved'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'processing'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'completed'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'failed'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  <w:pBdr>
          <w:bottom w:val="single" w:color="444444" w:sz="6" w:space="4"/>
        </w:pBdr>
        <w:spacing w:after="200" w:before="400"/>
      </w:pPr>
      <w:r>
        <w:rPr>
          <w:rFonts w:ascii="Calibri" w:cs="Calibri" w:eastAsia="Calibri" w:hAnsi="Calibri"/>
          <w:b/>
          <w:bCs/>
        </w:rPr>
        <w:t xml:space="preserve">Módulo de Soporte, Disputas y Marcadores Favoritos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Propósito: </w:t>
      </w:r>
      <w:r>
        <w:rPr>
          <w:rFonts w:ascii="Calibri" w:cs="Calibri" w:eastAsia="Calibri" w:hAnsi="Calibri"/>
          <w:sz w:val="21"/>
          <w:szCs w:val="21"/>
        </w:rPr>
        <w:t xml:space="preserve">Canal de atención de quejas, mediación de controversias y chat interactivo de resolución.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Mapeo UI: </w:t>
      </w:r>
      <w:r>
        <w:rPr>
          <w:rFonts w:ascii="Calibri" w:cs="Calibri" w:eastAsia="Calibri" w:hAnsi="Calibri"/>
          <w:sz w:val="21"/>
          <w:szCs w:val="21"/>
        </w:rPr>
        <w:t xml:space="preserve">"Reportar un Problema" (Pantalla 06 de Patrocinador) y Bandeja de Disputas (Pantalla 11 de Admin).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00"/>
      </w:tblGrid>
      <w:tr>
        <w:trPr>
          <w:tblHeader/>
        </w:trP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 / 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disputes.code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VARCHAR(30) (Unique)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de ticket para seguimiento de soporte (ej. BRT-D-000219).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disputes.dispute_type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dispute_type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Tipología del reclamo: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'payment_not_recognized'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'reward_not_received'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'project_not_executed'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etc.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disputes.status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dispute_status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del reclamo: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'open'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'in_review'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'resolved'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'rejected'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disputes.priority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dispute_priority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Prioridad en la cola de atención: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'low'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'medium'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'high'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disputes.resolution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Dictamen y acciones de resolución tomadas por el agente de Brotar.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dispute_messages.body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Contenido del mensaje emitido dentro del hilo de conversación.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dispute_messages.is_system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 si el mensaje fue generado de forma automática por el sistema.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Propósito: </w:t>
      </w:r>
      <w:r>
        <w:rPr>
          <w:rFonts w:ascii="Calibri" w:cs="Calibri" w:eastAsia="Calibri" w:hAnsi="Calibri"/>
          <w:sz w:val="21"/>
          <w:szCs w:val="21"/>
        </w:rPr>
        <w:t xml:space="preserve">Marcadores de proyectos preferidos y suscripción a notificaciones de avances.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Mapeo UI: </w:t>
      </w:r>
      <w:r>
        <w:rPr>
          <w:rFonts w:ascii="Calibri" w:cs="Calibri" w:eastAsia="Calibri" w:hAnsi="Calibri"/>
          <w:sz w:val="21"/>
          <w:szCs w:val="21"/>
        </w:rPr>
        <w:t xml:space="preserve">Sección de Proyectos Seguidos en Panel de Patrocinador (Pantalla 01).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/ Restricciones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Funcional y Uso Real en el Sistema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del marcador.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users.id)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Patrocinador que guarda el proyecto.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-&gt; campaigns.id)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Campaña guardada.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kind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 bookmark_kind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'FAVORITE'</w:t>
            </w:r>
          </w:p>
        </w:tc>
        <w:tc>
          <w:tcPr>
            <w:tcW w:type="dxa" w:w="4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Modalidad: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'FAVORITE'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(favorito) 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'FOLLOW'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(suscrito a novedades).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222222"/>
      <w:sz w:val="40"/>
      <w:szCs w:val="4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A1A1A"/>
      <w:sz w:val="27"/>
      <w:szCs w:val="27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2026-09-27T17:48:41.993Z</dcterms:created>
  <dcterms:modified xsi:type="dcterms:W3CDTF">2026-09-27T17:48:41.994Z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