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DA20F7" w14:textId="77777777" w:rsidR="00AA62D1" w:rsidRPr="00AA62D1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Roman Jurowetzki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hyperlink r:id="rId5" w:history="1">
        <w:r w:rsidRPr="00AA62D1">
          <w:rPr>
            <w:rFonts w:ascii="Times New Roman" w:eastAsia="Times New Roman" w:hAnsi="Times New Roman" w:cs="Times New Roman"/>
            <w:color w:val="A0AABF"/>
            <w:kern w:val="0"/>
            <w:sz w:val="20"/>
            <w:szCs w:val="20"/>
            <w:u w:val="single"/>
            <w:lang w:eastAsia="en-GB"/>
            <w14:ligatures w14:val="none"/>
          </w:rPr>
          <w:t>https://orcid.org/0000-0002-5199-918X</w:t>
        </w:r>
      </w:hyperlink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| </w:t>
      </w:r>
      <w:hyperlink r:id="rId6" w:history="1">
        <w:r w:rsidRPr="00AA62D1">
          <w:rPr>
            <w:rFonts w:ascii="Times New Roman" w:eastAsia="Times New Roman" w:hAnsi="Times New Roman" w:cs="Times New Roman"/>
            <w:color w:val="A0AABF"/>
            <w:kern w:val="0"/>
            <w:sz w:val="20"/>
            <w:szCs w:val="20"/>
            <w:u w:val="single"/>
            <w:lang w:eastAsia="en-GB"/>
            <w14:ligatures w14:val="none"/>
          </w:rPr>
          <w:t>https://vbn.aau.dk/da/persons/125497</w:t>
        </w:r>
      </w:hyperlink>
    </w:p>
    <w:p w14:paraId="732A4E69" w14:textId="57868C8D" w:rsidR="00753D0C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Associate Professor at Aalborg University (AAU</w:t>
      </w:r>
      <w:r w:rsidR="00753D0C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Business School</w:t>
      </w:r>
      <w:r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, Since Sept. 2020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) specializing in Innovation, Knowledge Economic Dynamics, and computational methods (esp. Natural Language Processing). Research focuses on technological change and emerging technologies</w:t>
      </w:r>
      <w:r w:rsidR="00720E6D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, technology policy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, published in journals like </w:t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AI &amp; Socity,</w:t>
      </w:r>
      <w:r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</w:t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Industrial and Corporate Change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and </w:t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Technological Forecasting and Social Change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.</w:t>
      </w:r>
    </w:p>
    <w:p w14:paraId="23AEFDBC" w14:textId="569ABF9D" w:rsidR="00AA62D1" w:rsidRPr="00AA62D1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Key Research Projects</w:t>
      </w:r>
      <w:r w:rsidR="00753D0C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 xml:space="preserve"> and </w:t>
      </w:r>
      <w:r w:rsidR="00753D0C"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Professional Activities</w:t>
      </w:r>
    </w:p>
    <w:p w14:paraId="0B48E6BF" w14:textId="4CFE67AB" w:rsidR="00AA62D1" w:rsidRPr="00AA62D1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Chief Scientist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(2025-2027)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CAISA (Centre for AI in Society)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| National AI Strategy | 50.7M DKK</w:t>
      </w:r>
      <w:r w:rsidR="001D7954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</w:t>
      </w:r>
      <w:r w:rsidR="001D7954" w:rsidRPr="001D7954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~6.80M EUR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(AAU 12.74M DKK)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Basic research and guidance on national AI adoption.</w:t>
      </w:r>
    </w:p>
    <w:p w14:paraId="06C8F1E0" w14:textId="4F62F701" w:rsidR="00AA62D1" w:rsidRPr="00AA62D1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AAU P</w:t>
      </w:r>
      <w:r w:rsidR="00B90202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I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(2024–2029)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GreenTraC: Green Transition Policy Centre</w:t>
      </w:r>
      <w:r w:rsidR="00B90202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, KU Lead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| Carlsberg Foundation | 10M DKK</w:t>
      </w:r>
      <w:r w:rsidR="00B90202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</w:t>
      </w:r>
      <w:r w:rsidR="00B90202" w:rsidRPr="001D7954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~</w:t>
      </w:r>
      <w:r w:rsidR="00B90202" w:rsidRPr="00B90202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1.34M EUR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AI/ML based indicators and evaluation of green transition policy.</w:t>
      </w:r>
    </w:p>
    <w:p w14:paraId="65F3D299" w14:textId="7C03B2E4" w:rsidR="00AA62D1" w:rsidRPr="00AA62D1" w:rsidRDefault="00AA62D1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AAU PI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(2021–2026)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AI Denmark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| Danish Industrial Foundation | 74.5M DKK</w:t>
      </w:r>
      <w:r w:rsidR="0093530F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| </w:t>
      </w:r>
      <w:r w:rsidR="0093530F" w:rsidRPr="0093530F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~9.99M EUR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 xml:space="preserve"> (AAU ~13.2M DKK</w:t>
      </w:r>
      <w:r w:rsidR="0093530F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)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Facilitating AI use in Danish SMEs. (</w:t>
      </w:r>
      <w:hyperlink r:id="rId7" w:history="1">
        <w:r w:rsidRPr="00AA62D1">
          <w:rPr>
            <w:rFonts w:ascii="Times New Roman" w:eastAsia="Times New Roman" w:hAnsi="Times New Roman" w:cs="Times New Roman"/>
            <w:i/>
            <w:iCs/>
            <w:color w:val="A0AABF"/>
            <w:kern w:val="0"/>
            <w:sz w:val="20"/>
            <w:szCs w:val="20"/>
            <w:u w:val="single"/>
            <w:lang w:eastAsia="en-GB"/>
            <w14:ligatures w14:val="none"/>
          </w:rPr>
          <w:t>https://aidenmark.dk/</w:t>
        </w:r>
      </w:hyperlink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)</w:t>
      </w:r>
    </w:p>
    <w:p w14:paraId="55E32893" w14:textId="75DAFC5C" w:rsidR="00AA62D1" w:rsidRPr="00AA62D1" w:rsidRDefault="003602B2" w:rsidP="00AA62D1">
      <w:pPr>
        <w:spacing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Policy Consultancy</w:t>
      </w:r>
      <w:r w:rsidR="00AA62D1"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(2024–2025)</w:t>
      </w:r>
      <w:r w:rsidR="00AA62D1"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="00AA62D1"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Ethics and Policy of AI</w:t>
      </w:r>
      <w:r w:rsidR="00AA62D1"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| UNESCO/G20</w:t>
      </w:r>
      <w:r w:rsidR="00AA62D1"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br/>
      </w:r>
      <w:r w:rsidR="00AA62D1"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Contribution to UNESCO AI Landscape report &amp; G20 Digital Economy Working Group on AI and inequalities</w:t>
      </w:r>
      <w:r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 xml:space="preserve"> under the South African G20 Presidency</w:t>
      </w:r>
      <w:r w:rsidR="00AA62D1"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.</w:t>
      </w:r>
    </w:p>
    <w:p w14:paraId="1E5BF0E4" w14:textId="3EEEA608" w:rsidR="00AA62D1" w:rsidRPr="00AA62D1" w:rsidRDefault="00AA62D1" w:rsidP="00AA62D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PhD Supervision</w:t>
      </w:r>
      <w:r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 xml:space="preserve"> (3 total) – current:</w:t>
      </w:r>
      <w:r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br/>
      </w: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Richard Jonker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(2024–Present, Co-Supervisor): Enhanced Language Modeling Using Consolidated Structured Knowledge.</w:t>
      </w:r>
    </w:p>
    <w:p w14:paraId="1547C551" w14:textId="5DDD0E96" w:rsidR="00AA62D1" w:rsidRPr="00753D0C" w:rsidRDefault="00AA62D1" w:rsidP="00753D0C">
      <w:pPr>
        <w:tabs>
          <w:tab w:val="left" w:pos="2415"/>
        </w:tabs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3D49"/>
          <w:kern w:val="0"/>
          <w:sz w:val="15"/>
          <w:szCs w:val="15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Special Issue Editor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(2021–2023), </w:t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Industry &amp; Innovation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. Topic: “Innovation dynamics in the age of AI.”</w:t>
      </w:r>
    </w:p>
    <w:p w14:paraId="7143C1CD" w14:textId="45ABC754" w:rsidR="00AA62D1" w:rsidRPr="00AA62D1" w:rsidRDefault="00AA62D1" w:rsidP="00753D0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Special Issue Editor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 (2018–2020), </w:t>
      </w:r>
      <w:r w:rsidRPr="00AA62D1">
        <w:rPr>
          <w:rFonts w:ascii="Times New Roman" w:eastAsia="Times New Roman" w:hAnsi="Times New Roman" w:cs="Times New Roman"/>
          <w:i/>
          <w:iCs/>
          <w:color w:val="373D49"/>
          <w:kern w:val="0"/>
          <w:sz w:val="20"/>
          <w:szCs w:val="20"/>
          <w:lang w:eastAsia="en-GB"/>
          <w14:ligatures w14:val="none"/>
        </w:rPr>
        <w:t>Scientometrics</w:t>
      </w:r>
      <w:r w:rsidRPr="00AA62D1">
        <w:rPr>
          <w:rFonts w:ascii="Times New Roman" w:eastAsia="Times New Roman" w:hAnsi="Times New Roman" w:cs="Times New Roman"/>
          <w:color w:val="373D49"/>
          <w:kern w:val="0"/>
          <w:sz w:val="20"/>
          <w:szCs w:val="20"/>
          <w:lang w:eastAsia="en-GB"/>
          <w14:ligatures w14:val="none"/>
        </w:rPr>
        <w:t>. Topic: “Machine Learning for (Eco-)System Mapping.” (doi: 10.1007/s11192-022-04628-8)</w:t>
      </w:r>
    </w:p>
    <w:p w14:paraId="27C4C96E" w14:textId="3662397A" w:rsidR="00AA62D1" w:rsidRPr="00AA62D1" w:rsidRDefault="00AA62D1" w:rsidP="00AA62D1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</w:pPr>
      <w:r w:rsidRPr="00AA62D1">
        <w:rPr>
          <w:rFonts w:ascii="Times New Roman" w:eastAsia="Times New Roman" w:hAnsi="Times New Roman" w:cs="Times New Roman"/>
          <w:b/>
          <w:bCs/>
          <w:color w:val="373D49"/>
          <w:kern w:val="0"/>
          <w:sz w:val="20"/>
          <w:szCs w:val="20"/>
          <w:lang w:eastAsia="en-GB"/>
          <w14:ligatures w14:val="none"/>
        </w:rPr>
        <w:t>Selected Publications</w:t>
      </w:r>
    </w:p>
    <w:p w14:paraId="43703DCE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Jurowetzki, R., Hain, D.S., Wirtz, K., &amp; Bianchini, S. (2025). The private sector is hoarding AI researchers: what implications for science?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AI &amp; SOCIETY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1-8.</w:t>
      </w:r>
    </w:p>
    <w:p w14:paraId="43FFCE32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Elmholdt, K.T., Nielsen, J.A., Florczak, C.K., Jurowetzki, R., &amp; Hain, D. (2025). The hopes and fears of artificial intelligence: a comparative computational discourse analysis.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AI &amp; SOCIETY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1-18.</w:t>
      </w:r>
    </w:p>
    <w:p w14:paraId="47961D25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Bekamiri, H., Hain, D.S., &amp; Jurowetzki, R. (2024). Patentsberta: A deep nlp based hybrid model for patent distance and classification using augmented sbert.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Technological Forecasting and Social Change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206, 123536.</w:t>
      </w:r>
    </w:p>
    <w:p w14:paraId="64E8EB22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Holm, J.R., Hain, D.S., Jurowetzki, R., &amp; Lorenz, E. (2023). Innovation dynamics in the age of artificial intelligence: introduction to the special issue.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Industry and Innovation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30(9), 1141-1155.</w:t>
      </w:r>
    </w:p>
    <w:p w14:paraId="56915742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Hain, D.S., Jurowetzki, R., Squicciarini, M., &amp; Xu, L. (2023).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Unveiling the neurotechnology landscape: Scientific advancements innovations and major trends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. UNESCO.</w:t>
      </w:r>
    </w:p>
    <w:p w14:paraId="20CD6C00" w14:textId="77777777" w:rsidR="00AA62D1" w:rsidRPr="005244EB" w:rsidRDefault="00AA62D1" w:rsidP="00AA62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Hain, D., Jurowetzki, R., Lee, S., &amp; Zhou, Y. (2023). Machine learning and artificial intelligence for science, technology, innovation mapping and forecasting: Review, synthesis, and applications.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Scientometrics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128(3), 1465–1472.</w:t>
      </w:r>
    </w:p>
    <w:p w14:paraId="02E9C7F2" w14:textId="1C89E07C" w:rsidR="00AA62D1" w:rsidRPr="005244EB" w:rsidRDefault="00AA62D1" w:rsidP="00EC4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Hain, D.S., Jurowetzki, R., Buchmann, T., &amp; Wolf, P. (2022). A text-embedding-based approach to measuring patent-to-patent technological similarity.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Technological Forecasting and Social Change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 177, 121559.</w:t>
      </w:r>
    </w:p>
    <w:p w14:paraId="220D19A6" w14:textId="3FEC666E" w:rsidR="00EC41A7" w:rsidRPr="005244EB" w:rsidRDefault="00EC41A7" w:rsidP="00EC41A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</w:pP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Jurowetzki, R., Lema, R., &amp; Lundvall, B. Å. (2018). Combining innovation systems and global value chains for development: Towards a research agenda.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The European Journal of Development Research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, </w:t>
      </w:r>
      <w:r w:rsidRPr="005244EB">
        <w:rPr>
          <w:rFonts w:ascii="Times New Roman" w:eastAsia="Times New Roman" w:hAnsi="Times New Roman" w:cs="Times New Roman"/>
          <w:i/>
          <w:iCs/>
          <w:color w:val="373D49"/>
          <w:kern w:val="0"/>
          <w:sz w:val="19"/>
          <w:szCs w:val="19"/>
          <w:lang w:eastAsia="en-GB"/>
          <w14:ligatures w14:val="none"/>
        </w:rPr>
        <w:t>30</w:t>
      </w:r>
      <w:r w:rsidRPr="005244EB">
        <w:rPr>
          <w:rFonts w:ascii="Times New Roman" w:eastAsia="Times New Roman" w:hAnsi="Times New Roman" w:cs="Times New Roman"/>
          <w:color w:val="373D49"/>
          <w:kern w:val="0"/>
          <w:sz w:val="19"/>
          <w:szCs w:val="19"/>
          <w:lang w:eastAsia="en-GB"/>
          <w14:ligatures w14:val="none"/>
        </w:rPr>
        <w:t>(3), 364-388.</w:t>
      </w:r>
    </w:p>
    <w:sectPr w:rsidR="00EC41A7" w:rsidRPr="005244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94687"/>
    <w:multiLevelType w:val="multilevel"/>
    <w:tmpl w:val="EC6EC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D863BC"/>
    <w:multiLevelType w:val="multilevel"/>
    <w:tmpl w:val="042E9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03767"/>
    <w:multiLevelType w:val="multilevel"/>
    <w:tmpl w:val="64D8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8009881">
    <w:abstractNumId w:val="0"/>
  </w:num>
  <w:num w:numId="2" w16cid:durableId="3016506">
    <w:abstractNumId w:val="1"/>
  </w:num>
  <w:num w:numId="3" w16cid:durableId="11741509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2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D1"/>
    <w:rsid w:val="001D7954"/>
    <w:rsid w:val="003602B2"/>
    <w:rsid w:val="0036614E"/>
    <w:rsid w:val="00397489"/>
    <w:rsid w:val="005244EB"/>
    <w:rsid w:val="006A624B"/>
    <w:rsid w:val="00720E6D"/>
    <w:rsid w:val="00753D0C"/>
    <w:rsid w:val="0093530F"/>
    <w:rsid w:val="00A802D3"/>
    <w:rsid w:val="00AA62D1"/>
    <w:rsid w:val="00AF6FF2"/>
    <w:rsid w:val="00B90202"/>
    <w:rsid w:val="00EC41A7"/>
    <w:rsid w:val="00F558A8"/>
    <w:rsid w:val="00F75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73AB11"/>
  <w15:chartTrackingRefBased/>
  <w15:docId w15:val="{AF74D51B-723B-1E4D-8AC5-3F1CBA60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2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2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2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2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2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2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2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2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2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2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2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2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2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2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2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2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2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2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2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2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2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2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2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2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2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2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2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2D1"/>
    <w:rPr>
      <w:b/>
      <w:bCs/>
      <w:smallCaps/>
      <w:color w:val="0F4761" w:themeColor="accent1" w:themeShade="BF"/>
      <w:spacing w:val="5"/>
    </w:rPr>
  </w:style>
  <w:style w:type="paragraph" w:customStyle="1" w:styleId="has-line-data">
    <w:name w:val="has-line-data"/>
    <w:basedOn w:val="Normal"/>
    <w:rsid w:val="00AA6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A62D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A62D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A62D1"/>
  </w:style>
  <w:style w:type="character" w:styleId="Emphasis">
    <w:name w:val="Emphasis"/>
    <w:basedOn w:val="DefaultParagraphFont"/>
    <w:uiPriority w:val="20"/>
    <w:qFormat/>
    <w:rsid w:val="00AA62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174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idenmark.dk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bn.aau.dk/da/persons/125497" TargetMode="External"/><Relationship Id="rId5" Type="http://schemas.openxmlformats.org/officeDocument/2006/relationships/hyperlink" Target="https://orcid.org/0000-0002-5199-918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f5dbba49-ce06-496f-ac3e-0cf14361d934}" enabled="0" method="" siteId="{f5dbba49-ce06-496f-ac3e-0cf14361d934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Jurowetzki</dc:creator>
  <cp:keywords/>
  <dc:description/>
  <cp:lastModifiedBy>Roman Jurowetzki</cp:lastModifiedBy>
  <cp:revision>12</cp:revision>
  <dcterms:created xsi:type="dcterms:W3CDTF">2025-06-16T06:10:00Z</dcterms:created>
  <dcterms:modified xsi:type="dcterms:W3CDTF">2025-06-16T06:18:00Z</dcterms:modified>
</cp:coreProperties>
</file>