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River Kelly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CSCI-305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Chapter 4 Homework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Perform the pairwise disjointness test for the following grammar rules.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a.) S → aSb | bAA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Step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(aSb) = {a}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(bAA) = {b}</w:t>
      </w:r>
    </w:p>
    <w:p w:rsidR="00000000" w:rsidDel="00000000" w:rsidP="00000000" w:rsidRDefault="00000000" w:rsidRPr="00000000" w14:paraId="0000000D">
      <w:pPr>
        <w:ind w:left="720"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Step 2.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(aSb) ∩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(bAA) = 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Is the same as,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{a} ∩ {b} = 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Passes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b. A → B{aB} |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Step 1.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(B{aB}) = {b}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(a) = {a}</w:t>
      </w:r>
    </w:p>
    <w:p w:rsidR="00000000" w:rsidDel="00000000" w:rsidP="00000000" w:rsidRDefault="00000000" w:rsidRPr="00000000" w14:paraId="00000019">
      <w:pPr>
        <w:ind w:left="720"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Step 2.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(B{aB}) ∩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= ∅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Is the same as,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{b} ∩ {a} = ∅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Passes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c. B → aB |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Step 1.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(aB) = {a}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(a) = {a}</w:t>
      </w:r>
    </w:p>
    <w:p w:rsidR="00000000" w:rsidDel="00000000" w:rsidP="00000000" w:rsidRDefault="00000000" w:rsidRPr="00000000" w14:paraId="00000025">
      <w:pPr>
        <w:ind w:left="720"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Step 2.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(aB) ∩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= {a} ≠ ∅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Is the same as,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{a} ∩ {a} = {a} ≠ ∅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Fails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Show a trace of the recursive descent parser given in Section 4.4.1 (in the book) for the string a + b * c 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Next token is: 11 Next lexeme is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&lt;expr&gt;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Enter &lt;term&gt;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&lt;factor&gt;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Next token is: 21 Next lexeme is </w:t>
      </w: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Exit &lt;factor&gt;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Exit &lt;term&gt;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Next token is: 11 Next lexeme is 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&lt;term&gt;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&lt;factor&gt;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Next token is: 23 Next lexeme is 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Exit &lt;factor&gt;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Next token is: 11 Next lexeme is 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&lt;factor&gt;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Next token is: -1 Next lexeme is EOF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Exit &lt;factor&gt;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Exit &lt;term&gt;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Exit &lt;expr&gt;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Given the following grammar and the right sentential form, draw a parse tree and show the phrases and simple phrases, as well as the handle.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5.9252929687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S→aAb | bBA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A→ab | aAB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B→aB |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aaAbb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Phrases: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aaAbb, aaABb, aAb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Simple Phrases:</w:t>
            </w:r>
            <w:r w:rsidDel="00000000" w:rsidR="00000000" w:rsidRPr="00000000">
              <w:rPr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Handle:</w:t>
            </w:r>
            <w:r w:rsidDel="00000000" w:rsidR="00000000" w:rsidRPr="00000000">
              <w:rPr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8403" cy="13881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403" cy="138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bBab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Phrases:</w:t>
            </w:r>
            <w:r w:rsidDel="00000000" w:rsidR="00000000" w:rsidRPr="00000000">
              <w:rPr>
                <w:rtl w:val="0"/>
              </w:rPr>
              <w:t xml:space="preserve"> bBab, bBA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Simple Phrases:</w:t>
            </w:r>
            <w:r w:rsidDel="00000000" w:rsidR="00000000" w:rsidRPr="00000000">
              <w:rPr>
                <w:rtl w:val="0"/>
              </w:rPr>
              <w:t xml:space="preserve"> ab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Handle:</w:t>
            </w:r>
            <w:r w:rsidDel="00000000" w:rsidR="00000000" w:rsidRPr="00000000">
              <w:rPr>
                <w:rtl w:val="0"/>
              </w:rPr>
              <w:t xml:space="preserve"> ab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4944" cy="109453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944" cy="1094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aaAbBb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aaAbBb → aSBb → aSBB → 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last string cannot be derived from the given grammar, therefor the phrase, simple phrase or handle cannot be calculated.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Design a state diagram to recognize the floating-point literals of your favorite programming language. Similar to the state diagram from the book that I used numerous times in the lecture videos.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