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b w:val="1"/>
          <w:rtl w:val="0"/>
        </w:rPr>
        <w:t xml:space="preserve">Questions</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Do you believe in ‘Equality of Outcome’ or ‘Equality of Opportunity’’? Do you believe in both? If you believe in one and not the other, why?</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Given the study suggesting men and women have different interests, resulting in a difference in careers, should anything be done to achieve equality of diversity in gender in STEM fields?</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Is it a bad thing that gender differences exist in the STEM fields?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VoxEU</w:t>
      </w:r>
    </w:p>
    <w:p w:rsidR="00000000" w:rsidDel="00000000" w:rsidP="00000000" w:rsidRDefault="00000000" w:rsidRPr="00000000" w14:paraId="00000007">
      <w:pPr>
        <w:rPr/>
      </w:pPr>
      <w:r w:rsidDel="00000000" w:rsidR="00000000" w:rsidRPr="00000000">
        <w:rPr>
          <w:rtl w:val="0"/>
        </w:rPr>
        <w:t xml:space="preserve">Figure 1 shows the proportion of each gender choosing STEM courses as first choice (broken down by science, technology, engineering, and mathematics). Clearly, the large STEM gap is driven by choices of engineering and technology courses, with women being slightly more likely to list science courses as first preference than men. Therefore, while the gender gap in STEM is large, the current focus on closing the gap in STEM might instead target the gaps in technology and engineering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Figure 2 illustrates gender differences in subject choice in secondary school. Within the STEM category, boys are three times more likely to study physics and applied mathematics while girls are more likely to study chemistry and biology. There are also large gender differences in the take up of practical subjects, with less than 5% of girls taking subjects such as engineering, building construction, design graphics, and technology.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myrl0m2lsugq" w:id="0"/>
      <w:bookmarkEnd w:id="0"/>
      <w:r w:rsidDel="00000000" w:rsidR="00000000" w:rsidRPr="00000000">
        <w:rPr>
          <w:rtl w:val="0"/>
        </w:rPr>
        <w:t xml:space="preserve">Explaining the gender gap in STEM</w:t>
      </w:r>
    </w:p>
    <w:p w:rsidR="00000000" w:rsidDel="00000000" w:rsidP="00000000" w:rsidRDefault="00000000" w:rsidRPr="00000000" w14:paraId="0000000D">
      <w:pPr>
        <w:rPr/>
      </w:pPr>
      <w:r w:rsidDel="00000000" w:rsidR="00000000" w:rsidRPr="00000000">
        <w:rPr>
          <w:rtl w:val="0"/>
        </w:rPr>
        <w:t xml:space="preserve">We consider three broad explanations for the lower probability that girls enter STEM programs. The first is a differential general achievement – girls tend to obtain higher Leaving Certificate points than boys and this may provide them with a broader menu of choices and lead to a lower (or higher) probability of choosing STEM. We find that controlling for overall Leaving Certificate points does little to the gender gap, suggesting that it is not much influenced by differences in overall Leaving Certificate achievement.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second potential explanation is comparative advantage. Students may choose college courses that best utilise their talents. While English and mathematics grades will not capture all aspects of comparative advantage, it is reassuring that they are strong predictors of STEM. We find that accounting for grades in English and mathematics reduces the STEM gender gap by 2.1%, suggesting a small role for comparative advantage. Furthermore, we find a total effect of about 1% from taking account of grades in other subjects. Overall, we conclude that about 3% of the STEM gender gap is due to gender differences in comparative advantage at the end of secondary schooling (as revealed by subject grades).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third explanation for the gender gap is subject choices in secondary school. Leaving Certificate subject choices may in themselves have a subsequent causal effect on STEM entry (either through enabling students to meet programme requirements or by providing them with more information, expertise, or confidence in their STEM abilities), or they may simply reflect underlying preferences towards STEM. We find that after controlling for subjects the gender gap falls by over 9%, which is a substantial decrease. Choosing chemistry, physics, physics with chemistry, engineering, technology, design graphics, or applied mathematics as Leaving Certificate subjects is very strongly positively related to ranking a STEM degree as first preference (see Figure 4). However, there is a weaker relationship between doing biology or agricultural science and subsequently choosing STEM.</w:t>
      </w:r>
    </w:p>
    <w:p w:rsidR="00000000" w:rsidDel="00000000" w:rsidP="00000000" w:rsidRDefault="00000000" w:rsidRPr="00000000" w14:paraId="00000012">
      <w:pPr>
        <w:rPr/>
      </w:pPr>
      <w:r w:rsidDel="00000000" w:rsidR="00000000" w:rsidRPr="00000000">
        <w:rPr>
          <w:rtl w:val="0"/>
        </w:rPr>
        <w:t xml:space="preserve">Now that we have identified that there is strong data showing a clear majority of males to females in STEM, I would now like to talk about the two main political and cultural solutions provided in an attempt to reduce this gender gap.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Equality of Opportunity</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The idea that any system of either government or a business should result in equality of diversity at every level</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Affimative action was put in place in attemp to achieve exactly this.</w:t>
      </w:r>
    </w:p>
    <w:p w:rsidR="00000000" w:rsidDel="00000000" w:rsidP="00000000" w:rsidRDefault="00000000" w:rsidRPr="00000000" w14:paraId="00000017">
      <w:pPr>
        <w:numPr>
          <w:ilvl w:val="1"/>
          <w:numId w:val="1"/>
        </w:numPr>
        <w:spacing w:after="240" w:before="240" w:lineRule="auto"/>
        <w:ind w:left="1440" w:hanging="360"/>
      </w:pPr>
      <w:r w:rsidDel="00000000" w:rsidR="00000000" w:rsidRPr="00000000">
        <w:rPr>
          <w:rtl w:val="0"/>
        </w:rPr>
        <w:t xml:space="preserve">The Gender-Equality Paradox in Science, Technology, Engineering, and Mathematics Education</w:t>
      </w:r>
    </w:p>
    <w:p w:rsidR="00000000" w:rsidDel="00000000" w:rsidP="00000000" w:rsidRDefault="00000000" w:rsidRPr="00000000" w14:paraId="00000018">
      <w:pPr>
        <w:numPr>
          <w:ilvl w:val="1"/>
          <w:numId w:val="1"/>
        </w:numPr>
        <w:spacing w:after="240" w:before="240" w:lineRule="auto"/>
        <w:ind w:left="1440" w:hanging="360"/>
        <w:rPr>
          <w:u w:val="none"/>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color w:val="202122"/>
          <w:sz w:val="21"/>
          <w:szCs w:val="21"/>
          <w:highlight w:val="white"/>
        </w:rPr>
      </w:pPr>
      <w:r w:rsidDel="00000000" w:rsidR="00000000" w:rsidRPr="00000000">
        <w:rPr>
          <w:color w:val="202122"/>
          <w:sz w:val="21"/>
          <w:szCs w:val="21"/>
          <w:highlight w:val="white"/>
          <w:rtl w:val="0"/>
        </w:rPr>
        <w:t xml:space="preserve">he United States in "</w:t>
      </w:r>
      <w:hyperlink r:id="rId6">
        <w:r w:rsidDel="00000000" w:rsidR="00000000" w:rsidRPr="00000000">
          <w:rPr>
            <w:color w:val="0b0080"/>
            <w:sz w:val="21"/>
            <w:szCs w:val="21"/>
            <w:highlight w:val="white"/>
            <w:rtl w:val="0"/>
          </w:rPr>
          <w:t xml:space="preserve">Executive Order No. 10925</w:t>
        </w:r>
      </w:hyperlink>
      <w:r w:rsidDel="00000000" w:rsidR="00000000" w:rsidRPr="00000000">
        <w:rPr>
          <w:color w:val="202122"/>
          <w:sz w:val="21"/>
          <w:szCs w:val="21"/>
          <w:highlight w:val="white"/>
          <w:rtl w:val="0"/>
        </w:rPr>
        <w:t xml:space="preserve">",</w:t>
      </w:r>
      <w:hyperlink r:id="rId7">
        <w:r w:rsidDel="00000000" w:rsidR="00000000" w:rsidRPr="00000000">
          <w:rPr>
            <w:color w:val="0b0080"/>
            <w:sz w:val="28"/>
            <w:szCs w:val="28"/>
            <w:highlight w:val="white"/>
            <w:vertAlign w:val="superscript"/>
            <w:rtl w:val="0"/>
          </w:rPr>
          <w:t xml:space="preserve">[13]</w:t>
        </w:r>
      </w:hyperlink>
      <w:r w:rsidDel="00000000" w:rsidR="00000000" w:rsidRPr="00000000">
        <w:rPr>
          <w:color w:val="202122"/>
          <w:sz w:val="21"/>
          <w:szCs w:val="21"/>
          <w:highlight w:val="white"/>
          <w:rtl w:val="0"/>
        </w:rPr>
        <w:t xml:space="preserve"> signed by President </w:t>
      </w:r>
      <w:hyperlink r:id="rId8">
        <w:r w:rsidDel="00000000" w:rsidR="00000000" w:rsidRPr="00000000">
          <w:rPr>
            <w:color w:val="0b0080"/>
            <w:sz w:val="21"/>
            <w:szCs w:val="21"/>
            <w:highlight w:val="white"/>
            <w:rtl w:val="0"/>
          </w:rPr>
          <w:t xml:space="preserve">John F. Kennedy</w:t>
        </w:r>
      </w:hyperlink>
      <w:r w:rsidDel="00000000" w:rsidR="00000000" w:rsidRPr="00000000">
        <w:rPr>
          <w:color w:val="202122"/>
          <w:sz w:val="21"/>
          <w:szCs w:val="21"/>
          <w:highlight w:val="white"/>
          <w:rtl w:val="0"/>
        </w:rPr>
        <w:t xml:space="preserve"> on 6 March 1961, which included a provision that </w:t>
      </w:r>
      <w:hyperlink r:id="rId9">
        <w:r w:rsidDel="00000000" w:rsidR="00000000" w:rsidRPr="00000000">
          <w:rPr>
            <w:color w:val="0b0080"/>
            <w:sz w:val="21"/>
            <w:szCs w:val="21"/>
            <w:highlight w:val="white"/>
            <w:rtl w:val="0"/>
          </w:rPr>
          <w:t xml:space="preserve">government contractors</w:t>
        </w:r>
      </w:hyperlink>
      <w:r w:rsidDel="00000000" w:rsidR="00000000" w:rsidRPr="00000000">
        <w:rPr>
          <w:color w:val="202122"/>
          <w:sz w:val="21"/>
          <w:szCs w:val="21"/>
          <w:highlight w:val="white"/>
          <w:rtl w:val="0"/>
        </w:rPr>
        <w:t xml:space="preserve"> "take </w:t>
      </w:r>
      <w:r w:rsidDel="00000000" w:rsidR="00000000" w:rsidRPr="00000000">
        <w:rPr>
          <w:i w:val="1"/>
          <w:color w:val="202122"/>
          <w:sz w:val="21"/>
          <w:szCs w:val="21"/>
          <w:highlight w:val="white"/>
          <w:rtl w:val="0"/>
        </w:rPr>
        <w:t xml:space="preserve">affirmative action</w:t>
      </w:r>
      <w:r w:rsidDel="00000000" w:rsidR="00000000" w:rsidRPr="00000000">
        <w:rPr>
          <w:color w:val="202122"/>
          <w:sz w:val="21"/>
          <w:szCs w:val="21"/>
          <w:highlight w:val="white"/>
          <w:rtl w:val="0"/>
        </w:rPr>
        <w:t xml:space="preserve"> to ensure that applicants are employed, and employees are treated [fairly] during employment, without regard to their race, creed, color, or national origin".</w:t>
      </w:r>
      <w:hyperlink r:id="rId10">
        <w:r w:rsidDel="00000000" w:rsidR="00000000" w:rsidRPr="00000000">
          <w:rPr>
            <w:color w:val="0b0080"/>
            <w:sz w:val="28"/>
            <w:szCs w:val="28"/>
            <w:highlight w:val="white"/>
            <w:vertAlign w:val="superscript"/>
            <w:rtl w:val="0"/>
          </w:rPr>
          <w:t xml:space="preserve">[14]</w:t>
        </w:r>
      </w:hyperlink>
      <w:r w:rsidDel="00000000" w:rsidR="00000000" w:rsidRPr="00000000">
        <w:rPr>
          <w:color w:val="202122"/>
          <w:sz w:val="21"/>
          <w:szCs w:val="21"/>
          <w:highlight w:val="white"/>
          <w:rtl w:val="0"/>
        </w:rPr>
        <w:t xml:space="preserve"> It was used to promote actions that achieve non-discrimination.</w:t>
      </w:r>
    </w:p>
    <w:p w:rsidR="00000000" w:rsidDel="00000000" w:rsidP="00000000" w:rsidRDefault="00000000" w:rsidRPr="00000000" w14:paraId="0000001D">
      <w:pPr>
        <w:rPr>
          <w:color w:val="202122"/>
          <w:sz w:val="21"/>
          <w:szCs w:val="21"/>
          <w:highlight w:val="white"/>
        </w:rPr>
      </w:pPr>
      <w:r w:rsidDel="00000000" w:rsidR="00000000" w:rsidRPr="00000000">
        <w:rPr>
          <w:rtl w:val="0"/>
        </w:rPr>
      </w:r>
    </w:p>
    <w:p w:rsidR="00000000" w:rsidDel="00000000" w:rsidP="00000000" w:rsidRDefault="00000000" w:rsidRPr="00000000" w14:paraId="0000001E">
      <w:pPr>
        <w:rPr>
          <w:color w:val="202122"/>
          <w:sz w:val="21"/>
          <w:szCs w:val="21"/>
          <w:highlight w:val="white"/>
        </w:rPr>
      </w:pPr>
      <w:r w:rsidDel="00000000" w:rsidR="00000000" w:rsidRPr="00000000">
        <w:rPr>
          <w:rtl w:val="0"/>
        </w:rPr>
      </w:r>
    </w:p>
    <w:p w:rsidR="00000000" w:rsidDel="00000000" w:rsidP="00000000" w:rsidRDefault="00000000" w:rsidRPr="00000000" w14:paraId="0000001F">
      <w:pPr>
        <w:rPr>
          <w:color w:val="202122"/>
          <w:sz w:val="21"/>
          <w:szCs w:val="21"/>
          <w:highlight w:val="white"/>
        </w:rPr>
      </w:pPr>
      <w:r w:rsidDel="00000000" w:rsidR="00000000" w:rsidRPr="00000000">
        <w:rPr>
          <w:rtl w:val="0"/>
        </w:rPr>
      </w:r>
    </w:p>
    <w:p w:rsidR="00000000" w:rsidDel="00000000" w:rsidP="00000000" w:rsidRDefault="00000000" w:rsidRPr="00000000" w14:paraId="00000020">
      <w:pPr>
        <w:rPr>
          <w:color w:val="202122"/>
          <w:sz w:val="21"/>
          <w:szCs w:val="21"/>
          <w:highlight w:val="white"/>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Delaney, Judith, and Paul Devereux. Understanding Gender Differences in STEM. 19 Apr. 2019, voxeu.org/article/understanding-gender-differences-stem. </w:t>
      </w:r>
    </w:p>
    <w:p w:rsidR="00000000" w:rsidDel="00000000" w:rsidP="00000000" w:rsidRDefault="00000000" w:rsidRPr="00000000" w14:paraId="00000028">
      <w:pPr>
        <w:numPr>
          <w:ilvl w:val="0"/>
          <w:numId w:val="2"/>
        </w:numPr>
        <w:spacing w:after="240" w:before="240" w:lineRule="auto"/>
        <w:ind w:left="720" w:hanging="360"/>
      </w:pPr>
      <w:r w:rsidDel="00000000" w:rsidR="00000000" w:rsidRPr="00000000">
        <w:rPr>
          <w:rtl w:val="0"/>
        </w:rPr>
        <w:t xml:space="preserve">“Affirmative Action.” </w:t>
      </w:r>
      <w:r w:rsidDel="00000000" w:rsidR="00000000" w:rsidRPr="00000000">
        <w:rPr>
          <w:i w:val="1"/>
          <w:rtl w:val="0"/>
        </w:rPr>
        <w:t xml:space="preserve">Wikipedia</w:t>
      </w:r>
      <w:r w:rsidDel="00000000" w:rsidR="00000000" w:rsidRPr="00000000">
        <w:rPr>
          <w:rtl w:val="0"/>
        </w:rPr>
        <w:t xml:space="preserve">, Wikimedia Foundation, 10 Sept. 2020, en.wikipedia.org/wiki/Affirmative_action. </w:t>
      </w:r>
    </w:p>
    <w:p w:rsidR="00000000" w:rsidDel="00000000" w:rsidP="00000000" w:rsidRDefault="00000000" w:rsidRPr="00000000" w14:paraId="00000029">
      <w:pPr>
        <w:numPr>
          <w:ilvl w:val="0"/>
          <w:numId w:val="2"/>
        </w:numPr>
        <w:spacing w:after="240" w:before="240" w:lineRule="auto"/>
        <w:ind w:left="720" w:hanging="360"/>
      </w:pPr>
      <w:r w:rsidDel="00000000" w:rsidR="00000000" w:rsidRPr="00000000">
        <w:rPr>
          <w:rtl w:val="0"/>
        </w:rPr>
        <w:t xml:space="preserve">“Judge Rules in Favor of Harvard in Divisive Affirmative Action Lawsuit.” </w:t>
      </w:r>
      <w:r w:rsidDel="00000000" w:rsidR="00000000" w:rsidRPr="00000000">
        <w:rPr>
          <w:i w:val="1"/>
          <w:rtl w:val="0"/>
        </w:rPr>
        <w:t xml:space="preserve">The Stanford Daily</w:t>
      </w:r>
      <w:r w:rsidDel="00000000" w:rsidR="00000000" w:rsidRPr="00000000">
        <w:rPr>
          <w:rtl w:val="0"/>
        </w:rPr>
        <w:t xml:space="preserve">, 4 Oct. 2019, www.stanforddaily.com/2019/10/03/judge-rules-in-favor-of-harvard-in-divisive-affirmative-action-lawsuit/. </w:t>
      </w:r>
    </w:p>
    <w:p w:rsidR="00000000" w:rsidDel="00000000" w:rsidP="00000000" w:rsidRDefault="00000000" w:rsidRPr="00000000" w14:paraId="0000002A">
      <w:pPr>
        <w:numPr>
          <w:ilvl w:val="0"/>
          <w:numId w:val="2"/>
        </w:numPr>
        <w:spacing w:after="240" w:before="240" w:lineRule="auto"/>
        <w:ind w:left="720" w:hanging="360"/>
      </w:pPr>
      <w:r w:rsidDel="00000000" w:rsidR="00000000" w:rsidRPr="00000000">
        <w:rPr>
          <w:rtl w:val="0"/>
        </w:rPr>
        <w:t xml:space="preserve">Stoet, Gijsbert, and David C. Geary. “The Gender-Equality Paradox in Science, Technology, Engineering, and Mathematics Education.” </w:t>
      </w:r>
      <w:r w:rsidDel="00000000" w:rsidR="00000000" w:rsidRPr="00000000">
        <w:rPr>
          <w:i w:val="1"/>
          <w:rtl w:val="0"/>
        </w:rPr>
        <w:t xml:space="preserve">Psychological Science</w:t>
      </w:r>
      <w:r w:rsidDel="00000000" w:rsidR="00000000" w:rsidRPr="00000000">
        <w:rPr>
          <w:rtl w:val="0"/>
        </w:rPr>
        <w:t xml:space="preserve">, vol. 29, no. 4, 2018, pp. 581–593., doi:10.1177/0956797617741719. </w:t>
      </w:r>
    </w:p>
    <w:p w:rsidR="00000000" w:rsidDel="00000000" w:rsidP="00000000" w:rsidRDefault="00000000" w:rsidRPr="00000000" w14:paraId="0000002B">
      <w:pPr>
        <w:numPr>
          <w:ilvl w:val="0"/>
          <w:numId w:val="2"/>
        </w:numPr>
        <w:spacing w:after="240" w:before="240" w:lineRule="auto"/>
        <w:ind w:left="720" w:hanging="360"/>
      </w:pPr>
      <w:r w:rsidDel="00000000" w:rsidR="00000000" w:rsidRPr="00000000">
        <w:rPr>
          <w:rtl w:val="0"/>
        </w:rPr>
        <w:t xml:space="preserve">Peterson, Jordan. “The Gender Scandal: Part One (Scandinavia) and Part Two (Canada).” </w:t>
      </w:r>
      <w:r w:rsidDel="00000000" w:rsidR="00000000" w:rsidRPr="00000000">
        <w:rPr>
          <w:i w:val="1"/>
          <w:rtl w:val="0"/>
        </w:rPr>
        <w:t xml:space="preserve">Jordan Peterson</w:t>
      </w:r>
      <w:r w:rsidDel="00000000" w:rsidR="00000000" w:rsidRPr="00000000">
        <w:rPr>
          <w:rtl w:val="0"/>
        </w:rPr>
        <w:t xml:space="preserve">, 24 Feb. 2019, www.jordanbpeterson.com/political-correctness/the-gender-scandal-part-one-scandinavia-and-part-two-canada/.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n.wikipedia.org/wiki/Affirmative_action#cite_note-oeod.uci.edu-14" TargetMode="External"/><Relationship Id="rId9" Type="http://schemas.openxmlformats.org/officeDocument/2006/relationships/hyperlink" Target="https://en.wikipedia.org/wiki/Government_contractor" TargetMode="External"/><Relationship Id="rId5" Type="http://schemas.openxmlformats.org/officeDocument/2006/relationships/styles" Target="styles.xml"/><Relationship Id="rId6" Type="http://schemas.openxmlformats.org/officeDocument/2006/relationships/hyperlink" Target="https://en.wikipedia.org/wiki/Executive_Order_10925" TargetMode="External"/><Relationship Id="rId7" Type="http://schemas.openxmlformats.org/officeDocument/2006/relationships/hyperlink" Target="https://en.wikipedia.org/wiki/Affirmative_action#cite_note-13" TargetMode="External"/><Relationship Id="rId8" Type="http://schemas.openxmlformats.org/officeDocument/2006/relationships/hyperlink" Target="https://en.wikipedia.org/wiki/John_F._Kenne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