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w:t>
      </w:r>
      <w:r w:rsidDel="00000000" w:rsidR="00000000" w:rsidRPr="00000000">
        <w:rPr>
          <w:rtl w:val="0"/>
        </w:rPr>
      </w:r>
    </w:p>
    <w:tbl>
      <w:tblPr>
        <w:tblStyle w:val="Table1"/>
        <w:tblW w:w="9360.0" w:type="dxa"/>
        <w:jc w:val="left"/>
        <w:tblInd w:w="36.0" w:type="pct"/>
        <w:tblLayout w:type="fixed"/>
        <w:tblLook w:val="0600"/>
      </w:tblPr>
      <w:tblGrid>
        <w:gridCol w:w="945"/>
        <w:gridCol w:w="8415"/>
        <w:tblGridChange w:id="0">
          <w:tblGrid>
            <w:gridCol w:w="945"/>
            <w:gridCol w:w="8415"/>
          </w:tblGrid>
        </w:tblGridChange>
      </w:tblGrid>
      <w:tr>
        <w:tc>
          <w:tcPr>
            <w:shd w:fill="auto" w:val="clear"/>
            <w:tcMar>
              <w:top w:w="36.0" w:type="dxa"/>
              <w:left w:w="36.0" w:type="dxa"/>
              <w:bottom w:w="36.0" w:type="dxa"/>
              <w:right w:w="36.0" w:type="dxa"/>
            </w:tcMar>
            <w:vAlign w:val="top"/>
          </w:tcPr>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w:t>
            </w:r>
          </w:p>
        </w:tc>
        <w:tc>
          <w:tcPr>
            <w:shd w:fill="auto" w:val="clear"/>
            <w:tcMar>
              <w:top w:w="36.0" w:type="dxa"/>
              <w:left w:w="36.0" w:type="dxa"/>
              <w:bottom w:w="36.0" w:type="dxa"/>
              <w:right w:w="36.0" w:type="dxa"/>
            </w:tcMar>
            <w:vAlign w:val="top"/>
          </w:tcPr>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 221 Instructor and Students</w:t>
            </w:r>
          </w:p>
        </w:tc>
      </w:tr>
      <w:tr>
        <w:tc>
          <w:tcPr>
            <w:shd w:fill="auto" w:val="clear"/>
            <w:tcMar>
              <w:top w:w="36.0" w:type="dxa"/>
              <w:left w:w="36.0" w:type="dxa"/>
              <w:bottom w:w="36.0" w:type="dxa"/>
              <w:right w:w="36.0" w:type="dxa"/>
            </w:tcMar>
            <w:vAlign w:val="top"/>
          </w:tcPr>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w:t>
            </w:r>
          </w:p>
        </w:tc>
        <w:tc>
          <w:tcPr>
            <w:shd w:fill="auto" w:val="clear"/>
            <w:tcMar>
              <w:top w:w="36.0" w:type="dxa"/>
              <w:left w:w="36.0" w:type="dxa"/>
              <w:bottom w:w="36.0" w:type="dxa"/>
              <w:right w:w="36.0" w:type="dxa"/>
            </w:tcMar>
            <w:vAlign w:val="top"/>
          </w:tcPr>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 Kelly</w:t>
            </w:r>
          </w:p>
        </w:tc>
      </w:tr>
      <w:tr>
        <w:tc>
          <w:tcPr>
            <w:shd w:fill="auto" w:val="clear"/>
            <w:tcMar>
              <w:top w:w="36.0" w:type="dxa"/>
              <w:left w:w="36.0" w:type="dxa"/>
              <w:bottom w:w="36.0" w:type="dxa"/>
              <w:right w:w="36.0" w:type="dxa"/>
            </w:tcMar>
            <w:vAlign w:val="top"/>
          </w:tcPr>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36.0" w:type="dxa"/>
              <w:left w:w="36.0" w:type="dxa"/>
              <w:bottom w:w="36.0" w:type="dxa"/>
              <w:right w:w="36.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18, 2020</w:t>
            </w:r>
          </w:p>
        </w:tc>
      </w:tr>
      <w:tr>
        <w:tc>
          <w:tcPr>
            <w:shd w:fill="auto" w:val="clear"/>
            <w:tcMar>
              <w:top w:w="36.0" w:type="dxa"/>
              <w:left w:w="36.0" w:type="dxa"/>
              <w:bottom w:w="36.0" w:type="dxa"/>
              <w:right w:w="36.0" w:type="dxa"/>
            </w:tcMar>
            <w:vAlign w:val="top"/>
          </w:tcPr>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c>
          <w:tcPr>
            <w:shd w:fill="auto" w:val="clear"/>
            <w:tcMar>
              <w:top w:w="36.0" w:type="dxa"/>
              <w:left w:w="36.0" w:type="dxa"/>
              <w:bottom w:w="36.0" w:type="dxa"/>
              <w:right w:w="36.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Flatten the Curve; A COVID-19 Technical Definition</w:t>
            </w:r>
          </w:p>
        </w:tc>
      </w:tr>
    </w:tbl>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term used throughout the </w:t>
      </w:r>
      <w:hyperlink r:id="rId6">
        <w:r w:rsidDel="00000000" w:rsidR="00000000" w:rsidRPr="00000000">
          <w:rPr>
            <w:rFonts w:ascii="Times New Roman" w:cs="Times New Roman" w:eastAsia="Times New Roman" w:hAnsi="Times New Roman"/>
            <w:color w:val="1155cc"/>
            <w:sz w:val="24"/>
            <w:szCs w:val="24"/>
            <w:u w:val="single"/>
            <w:rtl w:val="0"/>
          </w:rPr>
          <w:t xml:space="preserve">COVID-19 pandemic</w:t>
        </w:r>
      </w:hyperlink>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i w:val="1"/>
          <w:sz w:val="24"/>
          <w:szCs w:val="24"/>
          <w:rtl w:val="0"/>
        </w:rPr>
        <w:t xml:space="preserve">Flatten the Curve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term refers to the number of developed hospitalized cases over time in relation to the capacity of the healthcare system.</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In-Depth</w:t>
      </w:r>
      <w:r w:rsidDel="00000000" w:rsidR="00000000" w:rsidRPr="00000000">
        <w:rPr>
          <w:rFonts w:ascii="Times New Roman" w:cs="Times New Roman" w:eastAsia="Times New Roman" w:hAnsi="Times New Roman"/>
          <w:sz w:val="24"/>
          <w:szCs w:val="24"/>
          <w:rtl w:val="0"/>
        </w:rPr>
        <w:t xml:space="preserve">: Looking at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from The New York Time article ‘</w:t>
      </w:r>
      <w:r w:rsidDel="00000000" w:rsidR="00000000" w:rsidRPr="00000000">
        <w:rPr>
          <w:rFonts w:ascii="Times New Roman" w:cs="Times New Roman" w:eastAsia="Times New Roman" w:hAnsi="Times New Roman"/>
          <w:i w:val="1"/>
          <w:sz w:val="24"/>
          <w:szCs w:val="24"/>
          <w:rtl w:val="0"/>
        </w:rPr>
        <w:t xml:space="preserve">Flattening the Coronavirus Curve</w:t>
      </w:r>
      <w:r w:rsidDel="00000000" w:rsidR="00000000" w:rsidRPr="00000000">
        <w:rPr>
          <w:rFonts w:ascii="Times New Roman" w:cs="Times New Roman" w:eastAsia="Times New Roman" w:hAnsi="Times New Roman"/>
          <w:sz w:val="24"/>
          <w:szCs w:val="24"/>
          <w:rtl w:val="0"/>
        </w:rPr>
        <w:t xml:space="preserve">’ (Roberts),</w:t>
      </w:r>
      <w:r w:rsidDel="00000000" w:rsidR="00000000" w:rsidRPr="00000000">
        <w:rPr>
          <w:rFonts w:ascii="Times New Roman" w:cs="Times New Roman" w:eastAsia="Times New Roman" w:hAnsi="Times New Roman"/>
          <w:sz w:val="24"/>
          <w:szCs w:val="24"/>
          <w:rtl w:val="0"/>
        </w:rPr>
        <w:t xml:space="preserve"> demonstrates the importance of </w:t>
      </w:r>
      <w:r w:rsidDel="00000000" w:rsidR="00000000" w:rsidRPr="00000000">
        <w:rPr>
          <w:rFonts w:ascii="Times New Roman" w:cs="Times New Roman" w:eastAsia="Times New Roman" w:hAnsi="Times New Roman"/>
          <w:i w:val="1"/>
          <w:sz w:val="24"/>
          <w:szCs w:val="24"/>
          <w:rtl w:val="0"/>
        </w:rPr>
        <w:t xml:space="preserve">Flatten the Curve</w:t>
      </w:r>
      <w:r w:rsidDel="00000000" w:rsidR="00000000" w:rsidRPr="00000000">
        <w:rPr>
          <w:rFonts w:ascii="Times New Roman" w:cs="Times New Roman" w:eastAsia="Times New Roman" w:hAnsi="Times New Roman"/>
          <w:sz w:val="24"/>
          <w:szCs w:val="24"/>
          <w:rtl w:val="0"/>
        </w:rPr>
        <w:t xml:space="preserve">. The dotted horizontal line represents the capacity by number of cases for which our health care system may be able to treat COVID-19 cases. The two curves labeled “Without Protective Measures” and  “With Protective Measures” represent the two possible scenarios for which our healthcare system may encounter. Notice how the ‘red’ curve goes above the capacity of our healthcare system, while the ‘blue’ curve does not. </w:t>
      </w:r>
      <w:r w:rsidDel="00000000" w:rsidR="00000000" w:rsidRPr="00000000">
        <w:rPr>
          <w:rFonts w:ascii="Times New Roman" w:cs="Times New Roman" w:eastAsia="Times New Roman" w:hAnsi="Times New Roman"/>
          <w:sz w:val="24"/>
          <w:szCs w:val="24"/>
          <w:rtl w:val="0"/>
        </w:rPr>
        <w:t xml:space="preserve"> The ‘red’ curve is also half the duration of time when compared to the ‘blue’ curve. The principle idea is that, with protective measures, we can increase the amount of time for which cases occur, effectively never breaching the capacity of our healthcare system.</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1530" w:right="16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With and Without Protective Measures to Slow the Spread within Our Healthcare System Capacity</w:t>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190500</wp:posOffset>
            </wp:positionV>
            <wp:extent cx="4481513" cy="179855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81513" cy="1798551"/>
                    </a:xfrm>
                    <a:prstGeom prst="rect"/>
                    <a:ln/>
                  </pic:spPr>
                </pic:pic>
              </a:graphicData>
            </a:graphic>
          </wp:anchor>
        </w:drawing>
      </w:r>
    </w:p>
    <w:p w:rsidR="00000000" w:rsidDel="00000000" w:rsidP="00000000" w:rsidRDefault="00000000" w:rsidRPr="00000000" w14:paraId="00000010">
      <w:pPr>
        <w:spacing w:line="240" w:lineRule="auto"/>
        <w:ind w:left="1530" w:right="16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Dissonance</w:t>
      </w:r>
      <w:r w:rsidDel="00000000" w:rsidR="00000000" w:rsidRPr="00000000">
        <w:rPr>
          <w:rFonts w:ascii="Times New Roman" w:cs="Times New Roman" w:eastAsia="Times New Roman" w:hAnsi="Times New Roman"/>
          <w:sz w:val="24"/>
          <w:szCs w:val="24"/>
          <w:rtl w:val="0"/>
        </w:rPr>
        <w:t xml:space="preserve">: Referring back to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it is important to note that in each curve, the ‘red’ and the ‘blue’ or ‘Without Protective Measures’ and ‘With Protective Measures’, the number of infected cases stays the same. This is important because ‘</w:t>
      </w:r>
      <w:r w:rsidDel="00000000" w:rsidR="00000000" w:rsidRPr="00000000">
        <w:rPr>
          <w:rFonts w:ascii="Times New Roman" w:cs="Times New Roman" w:eastAsia="Times New Roman" w:hAnsi="Times New Roman"/>
          <w:i w:val="1"/>
          <w:sz w:val="24"/>
          <w:szCs w:val="24"/>
          <w:rtl w:val="0"/>
        </w:rPr>
        <w:t xml:space="preserve">flatten the curve</w:t>
      </w:r>
      <w:r w:rsidDel="00000000" w:rsidR="00000000" w:rsidRPr="00000000">
        <w:rPr>
          <w:rFonts w:ascii="Times New Roman" w:cs="Times New Roman" w:eastAsia="Times New Roman" w:hAnsi="Times New Roman"/>
          <w:sz w:val="24"/>
          <w:szCs w:val="24"/>
          <w:rtl w:val="0"/>
        </w:rPr>
        <w:t xml:space="preserve">’ does not mean ‘</w:t>
      </w:r>
      <w:r w:rsidDel="00000000" w:rsidR="00000000" w:rsidRPr="00000000">
        <w:rPr>
          <w:rFonts w:ascii="Times New Roman" w:cs="Times New Roman" w:eastAsia="Times New Roman" w:hAnsi="Times New Roman"/>
          <w:i w:val="1"/>
          <w:sz w:val="24"/>
          <w:szCs w:val="24"/>
          <w:rtl w:val="0"/>
        </w:rPr>
        <w:t xml:space="preserve">crush the curve</w:t>
      </w:r>
      <w:r w:rsidDel="00000000" w:rsidR="00000000" w:rsidRPr="00000000">
        <w:rPr>
          <w:rFonts w:ascii="Times New Roman" w:cs="Times New Roman" w:eastAsia="Times New Roman" w:hAnsi="Times New Roman"/>
          <w:sz w:val="24"/>
          <w:szCs w:val="24"/>
          <w:rtl w:val="0"/>
        </w:rPr>
        <w:t xml:space="preserve">’. By instituting measures like </w:t>
      </w:r>
      <w:hyperlink r:id="rId8">
        <w:r w:rsidDel="00000000" w:rsidR="00000000" w:rsidRPr="00000000">
          <w:rPr>
            <w:rFonts w:ascii="Times New Roman" w:cs="Times New Roman" w:eastAsia="Times New Roman" w:hAnsi="Times New Roman"/>
            <w:color w:val="1155cc"/>
            <w:sz w:val="24"/>
            <w:szCs w:val="24"/>
            <w:u w:val="single"/>
            <w:rtl w:val="0"/>
          </w:rPr>
          <w:t xml:space="preserve">lockdowns</w:t>
        </w:r>
      </w:hyperlink>
      <w:r w:rsidDel="00000000" w:rsidR="00000000" w:rsidRPr="00000000">
        <w:rPr>
          <w:rFonts w:ascii="Times New Roman" w:cs="Times New Roman" w:eastAsia="Times New Roman" w:hAnsi="Times New Roman"/>
          <w:sz w:val="24"/>
          <w:szCs w:val="24"/>
          <w:rtl w:val="0"/>
        </w:rPr>
        <w:t xml:space="preserve">, may spread the number of cases out over time, but it is not intended to reduce the total number of cases. According to an article, ‘</w:t>
      </w:r>
      <w:r w:rsidDel="00000000" w:rsidR="00000000" w:rsidRPr="00000000">
        <w:rPr>
          <w:rFonts w:ascii="Times New Roman" w:cs="Times New Roman" w:eastAsia="Times New Roman" w:hAnsi="Times New Roman"/>
          <w:i w:val="1"/>
          <w:sz w:val="24"/>
          <w:szCs w:val="24"/>
          <w:rtl w:val="0"/>
        </w:rPr>
        <w:t xml:space="preserve">Timeline: How Coronavirus got Started</w:t>
      </w:r>
      <w:r w:rsidDel="00000000" w:rsidR="00000000" w:rsidRPr="00000000">
        <w:rPr>
          <w:rFonts w:ascii="Times New Roman" w:cs="Times New Roman" w:eastAsia="Times New Roman" w:hAnsi="Times New Roman"/>
          <w:sz w:val="24"/>
          <w:szCs w:val="24"/>
          <w:rtl w:val="0"/>
        </w:rPr>
        <w:t xml:space="preserve">’ (Schumaker), the United States declared a national emergency and a mandatory ‘15 days to slow the spread’ on March 13, 2020. That was over 170 days ago, and the lockdowns are still in place all over the country.</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Consequences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COVID-19 lockdown is responsible for both the loss of economic activity and human lives.” (Berezon) Two independent studies attempt to measure the results of the lockdowns in terms of “years of potential life lost” (YPLL). Their findings conclude that the Coronavirus lockdowns are costing more life-years than it saves.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Cited</w:t>
      </w:r>
      <w:r w:rsidDel="00000000" w:rsidR="00000000" w:rsidRPr="00000000">
        <w:rPr>
          <w:rtl w:val="0"/>
        </w:rPr>
      </w:r>
    </w:p>
    <w:p w:rsidR="00000000" w:rsidDel="00000000" w:rsidP="00000000" w:rsidRDefault="00000000" w:rsidRPr="00000000" w14:paraId="0000001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Roberts, Siobhan. “Flattening the Coronavirus Curve.” </w:t>
      </w:r>
      <w:r w:rsidDel="00000000" w:rsidR="00000000" w:rsidRPr="00000000">
        <w:rPr>
          <w:rFonts w:ascii="Times New Roman" w:cs="Times New Roman" w:eastAsia="Times New Roman" w:hAnsi="Times New Roman"/>
          <w:i w:val="1"/>
          <w:sz w:val="24"/>
          <w:szCs w:val="24"/>
          <w:rtl w:val="0"/>
        </w:rPr>
        <w:t xml:space="preserve">The New York Times</w:t>
      </w:r>
      <w:r w:rsidDel="00000000" w:rsidR="00000000" w:rsidRPr="00000000">
        <w:rPr>
          <w:rFonts w:ascii="Times New Roman" w:cs="Times New Roman" w:eastAsia="Times New Roman" w:hAnsi="Times New Roman"/>
          <w:sz w:val="24"/>
          <w:szCs w:val="24"/>
          <w:rtl w:val="0"/>
        </w:rPr>
        <w:t xml:space="preserve">, The New York Times, 27 Mar. 2020, </w:t>
      </w:r>
      <w:hyperlink r:id="rId9">
        <w:r w:rsidDel="00000000" w:rsidR="00000000" w:rsidRPr="00000000">
          <w:rPr>
            <w:rFonts w:ascii="Times New Roman" w:cs="Times New Roman" w:eastAsia="Times New Roman" w:hAnsi="Times New Roman"/>
            <w:color w:val="1155cc"/>
            <w:sz w:val="24"/>
            <w:szCs w:val="24"/>
            <w:u w:val="single"/>
            <w:rtl w:val="0"/>
          </w:rPr>
          <w:t xml:space="preserve">www.nytimes.com/article/flatten-curve-coronavirus.html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Schumaker, Erin. “Timeline: How Coronavirus Got Started.” </w:t>
      </w:r>
      <w:r w:rsidDel="00000000" w:rsidR="00000000" w:rsidRPr="00000000">
        <w:rPr>
          <w:rFonts w:ascii="Times New Roman" w:cs="Times New Roman" w:eastAsia="Times New Roman" w:hAnsi="Times New Roman"/>
          <w:i w:val="1"/>
          <w:sz w:val="24"/>
          <w:szCs w:val="24"/>
          <w:rtl w:val="0"/>
        </w:rPr>
        <w:t xml:space="preserve">ABC News</w:t>
      </w:r>
      <w:r w:rsidDel="00000000" w:rsidR="00000000" w:rsidRPr="00000000">
        <w:rPr>
          <w:rFonts w:ascii="Times New Roman" w:cs="Times New Roman" w:eastAsia="Times New Roman" w:hAnsi="Times New Roman"/>
          <w:sz w:val="24"/>
          <w:szCs w:val="24"/>
          <w:rtl w:val="0"/>
        </w:rPr>
        <w:t xml:space="preserve">, ABC News Network, 28 July 2020, abcnews.go.com/Health/timeline-coronavirus-started/story?id=69435165. </w:t>
      </w:r>
    </w:p>
    <w:p w:rsidR="00000000" w:rsidDel="00000000" w:rsidP="00000000" w:rsidRDefault="00000000" w:rsidRPr="00000000" w14:paraId="0000001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Berezon, Alex. </w:t>
      </w:r>
      <w:r w:rsidDel="00000000" w:rsidR="00000000" w:rsidRPr="00000000">
        <w:rPr>
          <w:rFonts w:ascii="Times New Roman" w:cs="Times New Roman" w:eastAsia="Times New Roman" w:hAnsi="Times New Roman"/>
          <w:i w:val="1"/>
          <w:sz w:val="24"/>
          <w:szCs w:val="24"/>
          <w:rtl w:val="0"/>
        </w:rPr>
        <w:t xml:space="preserve">Is the Coronavirus Lockdown Costing More Lives than It's Saving?</w:t>
      </w:r>
      <w:r w:rsidDel="00000000" w:rsidR="00000000" w:rsidRPr="00000000">
        <w:rPr>
          <w:rFonts w:ascii="Times New Roman" w:cs="Times New Roman" w:eastAsia="Times New Roman" w:hAnsi="Times New Roman"/>
          <w:sz w:val="24"/>
          <w:szCs w:val="24"/>
          <w:rtl w:val="0"/>
        </w:rPr>
        <w:t xml:space="preserve"> 27 May 2020, www.acsh.org/news/2020/05/27/coronavirus-lockdown-costing-more-lives-its-saving-14815.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ytimes.com/article/flatten-curve-coronavirus.html" TargetMode="External"/><Relationship Id="rId5" Type="http://schemas.openxmlformats.org/officeDocument/2006/relationships/styles" Target="styles.xml"/><Relationship Id="rId6" Type="http://schemas.openxmlformats.org/officeDocument/2006/relationships/hyperlink" Target="https://en.wikipedia.org/wiki/COVID-19_pandemic" TargetMode="External"/><Relationship Id="rId7" Type="http://schemas.openxmlformats.org/officeDocument/2006/relationships/image" Target="media/image1.png"/><Relationship Id="rId8" Type="http://schemas.openxmlformats.org/officeDocument/2006/relationships/hyperlink" Target="https://en.wikipedia.org/wiki/Loc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