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1F6FC2"/>
          <w:sz w:val="28"/>
          <w:szCs w:val="28"/>
        </w:rPr>
        <w:t xml:space="preserve">STARK INDUSTRIES INC.</w:t>
      </w:r>
    </w:p>
    <w:p>
      <w:pPr>
        <w:spacing w:after="0" w:before="200"/>
        <w:jc w:val="center"/>
      </w:pPr>
      <w:r>
        <w:rPr>
          <w:b/>
          <w:bCs/>
          <w:color w:val="1A2330"/>
          <w:sz w:val="52"/>
          <w:szCs w:val="52"/>
        </w:rPr>
        <w:t xml:space="preserve">Internal Audit Plan</w:t>
      </w:r>
    </w:p>
    <w:p>
      <w:pPr>
        <w:spacing w:after="0" w:before="360"/>
        <w:jc w:val="center"/>
      </w:pPr>
      <w:r>
        <w:rPr>
          <w:i/>
          <w:iCs/>
          <w:color w:val="666666"/>
          <w:sz w:val="24"/>
          <w:szCs w:val="24"/>
        </w:rPr>
        <w:t xml:space="preserve">Plan for the ISO/IEC 27001:2022 internal audit of Stark Industries Inc.</w:t>
      </w:r>
    </w:p>
    <w:p>
      <w:pPr>
        <w:spacing w:after="0" w:before="2400"/>
        <w:jc w:val="center"/>
      </w:pPr>
      <w:r>
        <w:rPr>
          <w:color w:val="666666"/>
          <w:sz w:val="20"/>
          <w:szCs w:val="20"/>
        </w:rPr>
        <w:t xml:space="preserve">Prepared by: Nirmay Soni, Cyber Security GRC Analyst (Internal Auditor)</w:t>
      </w:r>
    </w:p>
    <w:p>
      <w:pPr>
        <w:spacing w:after="0" w:before="100"/>
        <w:jc w:val="center"/>
      </w:pPr>
      <w:r>
        <w:rPr>
          <w:color w:val="666666"/>
          <w:sz w:val="20"/>
          <w:szCs w:val="20"/>
        </w:rPr>
        <w:t xml:space="preserve">Approved by: Happy Hogan, Information Security Manager</w:t>
      </w:r>
    </w:p>
    <w:p>
      <w:pPr>
        <w:pageBreakBefore/>
      </w:pPr>
      <w:r>
        <w:br/>
        <w:t xml:space="preserve"/>
      </w: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20"/>
        <w:gridCol w:w="960"/>
        <w:gridCol w:w="1060"/>
        <w:gridCol w:w="1400"/>
        <w:gridCol w:w="1180"/>
        <w:gridCol w:w="1180"/>
        <w:gridCol w:w="1360"/>
        <w:gridCol w:w="1200"/>
      </w:tblGrid>
      <w:tr>
        <w:trPr>
          <w:tblHeader/>
        </w:trPr>
        <w:tc>
          <w:tcPr>
            <w:tcW w:type="dxa" w:w="102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Date</w:t>
            </w:r>
          </w:p>
        </w:tc>
        <w:tc>
          <w:tcPr>
            <w:tcW w:type="dxa" w:w="9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Version</w:t>
            </w:r>
          </w:p>
        </w:tc>
        <w:tc>
          <w:tcPr>
            <w:tcW w:type="dxa" w:w="10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Author</w:t>
            </w:r>
          </w:p>
        </w:tc>
        <w:tc>
          <w:tcPr>
            <w:tcW w:type="dxa" w:w="1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Description</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Approved By</w:t>
            </w:r>
          </w:p>
        </w:tc>
        <w:tc>
          <w:tcPr>
            <w:tcW w:type="dxa" w:w="118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Last Updated</w:t>
            </w:r>
          </w:p>
        </w:tc>
        <w:tc>
          <w:tcPr>
            <w:tcW w:type="dxa" w:w="1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Review Frequency</w:t>
            </w:r>
          </w:p>
        </w:tc>
        <w:tc>
          <w:tcPr>
            <w:tcW w:type="dxa" w:w="12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Next Review</w:t>
            </w:r>
          </w:p>
        </w:tc>
      </w:tr>
      <w:tr>
        <w:tc>
          <w:tcPr>
            <w:tcW w:type="dxa" w:w="1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1.0</w:t>
            </w:r>
          </w:p>
        </w:tc>
        <w:tc>
          <w:tcPr>
            <w:tcW w:type="dxa" w:w="1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Nirmay Soni</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Initial issue</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c>
          <w:tcPr>
            <w:tcW w:type="dxa" w:w="11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05 Mar 2026</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Per audit cycle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Next audit</w:t>
            </w:r>
          </w:p>
        </w:tc>
      </w:tr>
    </w:tbl>
    <w:p>
      <w:pPr>
        <w:pStyle w:val="Heading1"/>
      </w:pPr>
      <w:r>
        <w:t xml:space="preserve">1. Purpose</w:t>
      </w:r>
    </w:p>
    <w:p>
      <w:pPr>
        <w:spacing w:after="160" w:line="276"/>
        <w:jc w:val="both"/>
      </w:pPr>
      <w:r>
        <w:rPr>
          <w:sz w:val="22"/>
          <w:szCs w:val="22"/>
        </w:rPr>
        <w:t xml:space="preserve">This Internal Audit Plan defines how the planned ISO/IEC 27001:2022 internal audit of Stark Industries Inc. will be carried out. It sets out the audit scope, objectives, criteria, team, timeline, and the areas to be examined. It puts into practice the rules established in the organisation's Internal Audit Programme (Clause 9.2.2) for this specific audit cycle.</w:t>
      </w:r>
    </w:p>
    <w:p>
      <w:pPr>
        <w:pStyle w:val="Heading1"/>
      </w:pPr>
      <w:r>
        <w:t xml:space="preserve">2. Audit Scope</w:t>
      </w:r>
    </w:p>
    <w:p>
      <w:pPr>
        <w:spacing w:after="160" w:line="276"/>
        <w:jc w:val="both"/>
      </w:pPr>
      <w:r>
        <w:rPr>
          <w:sz w:val="22"/>
          <w:szCs w:val="22"/>
        </w:rPr>
        <w:t xml:space="preserve">The audit covers the Information Security Management System (ISMS) as defined in the ISMS Scope document: the development, deployment, and management of the Stark Industries SaaS marketing-automation platform, including supporting processes, personnel, internal tools, and AWS-hosted infrastructure, together with relevant third-party and vendor arrangements.</w:t>
      </w:r>
    </w:p>
    <w:p>
      <w:pPr>
        <w:pStyle w:val="Heading1"/>
      </w:pPr>
      <w:r>
        <w:t xml:space="preserve">3. Audit Objectives</w:t>
      </w:r>
    </w:p>
    <w:p>
      <w:pPr>
        <w:spacing w:after="160" w:line="276"/>
        <w:jc w:val="both"/>
      </w:pPr>
      <w:r>
        <w:rPr>
          <w:sz w:val="22"/>
          <w:szCs w:val="22"/>
        </w:rPr>
        <w:t xml:space="preserve">The objectives are as set out in the Audit Objectives document: to determine conformity of the ISMS with ISO/IEC 27001:2022 and with the organisation's own requirements, to evaluate effective implementation and the operation of Annex A controls, to identify nonconformities and opportunities for improvement, and to assess readiness for external certification.</w:t>
      </w:r>
    </w:p>
    <w:p>
      <w:pPr>
        <w:pStyle w:val="Heading1"/>
      </w:pPr>
      <w:r>
        <w:t xml:space="preserve">4. Audit Criteria</w:t>
      </w:r>
    </w:p>
    <w:p>
      <w:pPr>
        <w:pStyle w:val="ListParagraph"/>
        <w:numPr>
          <w:ilvl w:val="0"/>
          <w:numId w:val="2"/>
        </w:numPr>
        <w:spacing w:after="80" w:line="276"/>
      </w:pPr>
      <w:r>
        <w:rPr>
          <w:sz w:val="22"/>
          <w:szCs w:val="22"/>
        </w:rPr>
        <w:t xml:space="preserve">ISO/IEC 27001:2022 requirements (Clauses 4 to 10 and Annex A controls via the Statement of Applicability).</w:t>
      </w:r>
    </w:p>
    <w:p>
      <w:pPr>
        <w:pStyle w:val="ListParagraph"/>
        <w:numPr>
          <w:ilvl w:val="0"/>
          <w:numId w:val="2"/>
        </w:numPr>
        <w:spacing w:after="80" w:line="276"/>
      </w:pPr>
      <w:r>
        <w:rPr>
          <w:sz w:val="22"/>
          <w:szCs w:val="22"/>
        </w:rPr>
        <w:t xml:space="preserve">Stark Industries' ISMS policies and procedures.</w:t>
      </w:r>
    </w:p>
    <w:p>
      <w:pPr>
        <w:pStyle w:val="ListParagraph"/>
        <w:numPr>
          <w:ilvl w:val="0"/>
          <w:numId w:val="2"/>
        </w:numPr>
        <w:spacing w:after="80" w:line="276"/>
      </w:pPr>
      <w:r>
        <w:rPr>
          <w:sz w:val="22"/>
          <w:szCs w:val="22"/>
        </w:rPr>
        <w:t xml:space="preserve">Applicable legal, regulatory, and contractual obligations relevant to the SaaS platform.</w:t>
      </w:r>
    </w:p>
    <w:p>
      <w:pPr>
        <w:pStyle w:val="Heading1"/>
      </w:pPr>
      <w:r>
        <w:t xml:space="preserve">5. Audit Team and Roles</w:t>
      </w:r>
    </w:p>
    <w:p>
      <w:pPr>
        <w:spacing w:after="120" w:line="276"/>
        <w:jc w:val="both"/>
      </w:pPr>
      <w:r>
        <w:rPr>
          <w:sz w:val="22"/>
          <w:szCs w:val="22"/>
        </w:rPr>
        <w:t xml:space="preserve">The audit team and the responsibilities of those involved are set out below. The Information Security Manager appoints the internal auditor based on competence and impartiality.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Name</w:t>
            </w:r>
          </w:p>
        </w:tc>
        <w:tc>
          <w:tcPr>
            <w:tcW w:type="dxa" w:w="24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Audit Role</w:t>
            </w:r>
          </w:p>
        </w:tc>
        <w:tc>
          <w:tcPr>
            <w:tcW w:type="dxa" w:w="4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Responsibility in the Audit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Nirmay Soni</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Internal Auditor (Lead)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Plans and conducts the audit, collects evidence, raises findings, prepares the audit report.</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Happy Hogan</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Manager (Auditee / Audit Sponsor)</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Owns the ISMS, appoints the auditor, provides access to people and evidence, receives the report.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Tony Stark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Chief Executive Officer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Provides top-management input for Clause 5 (Leadership) and receives audit outcomes.</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James Rhodes</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Information Security Analyst (Auditee)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Provides evidence on monitoring, logging, and incident handling.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Natalia Romanoff</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Software Developer (Auditee)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Provides evidence on secure development of the SaaS platform.</w:t>
            </w:r>
          </w:p>
        </w:tc>
      </w:tr>
      <w:tr>
        <w:tc>
          <w:tcPr>
            <w:tcW w:type="dxa" w:w="26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Maria Hill</w:t>
            </w:r>
          </w:p>
        </w:tc>
        <w:tc>
          <w:tcPr>
            <w:tcW w:type="dxa" w:w="24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IT Infrastructure Engineer (Auditee)</w:t>
            </w:r>
          </w:p>
        </w:tc>
        <w:tc>
          <w:tcPr>
            <w:tcW w:type="dxa" w:w="4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Provides evidence on AWS configuration, access control, and operations.</w:t>
            </w:r>
          </w:p>
        </w:tc>
      </w:tr>
    </w:tbl>
    <w:p>
      <w:pPr>
        <w:spacing w:after="0" w:line="276"/>
        <w:jc w:val="both"/>
      </w:pPr>
      <w:r>
        <w:rPr>
          <w:sz w:val="22"/>
          <w:szCs w:val="22"/>
        </w:rPr>
        <w:t xml:space="preserve">Independence note: Stark Industries operates with a small team and overlapping roles. Where the appointed auditor has been involved in building parts of the ISMS, this limits full independence. This limitation is recorded and, where practical, mitigated by management oversight and the option to use external resources for complex or sensitive areas.</w:t>
      </w:r>
    </w:p>
    <w:p>
      <w:pPr>
        <w:pStyle w:val="Heading1"/>
      </w:pPr>
      <w:r>
        <w:t xml:space="preserve">6. Audit Timeline</w:t>
      </w:r>
    </w:p>
    <w:p>
      <w:pPr>
        <w:spacing w:after="120" w:line="276"/>
        <w:jc w:val="both"/>
      </w:pPr>
      <w:r>
        <w:rPr>
          <w:sz w:val="22"/>
          <w:szCs w:val="22"/>
        </w:rPr>
        <w:t xml:space="preserve">The audit is conducted over a single fieldwork week, following the schedule below. The detailed session-by-session timetable is maintained in Audit_Schedule.xlsx.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4000"/>
      </w:tblGrid>
      <w:tr>
        <w:trPr>
          <w:tblHeader/>
        </w:trPr>
        <w:tc>
          <w:tcPr>
            <w:tcW w:type="dxa" w:w="5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Activity</w:t>
            </w:r>
          </w:p>
        </w:tc>
        <w:tc>
          <w:tcPr>
            <w:tcW w:type="dxa" w:w="40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Planned Date</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Audit plan prepared and approved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05 Mar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Opening meeting</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16 Mar 2026</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Audit fieldwork (interviews, document review, observation, sampling)</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16 - 19 Mar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Closing meeting</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20 Mar 2026</w:t>
            </w:r>
          </w:p>
        </w:tc>
      </w:tr>
      <w:tr>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Draft audit report issued to management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Within 14 days (by 03 Apr 2026)</w:t>
            </w:r>
          </w:p>
        </w:tc>
      </w:tr>
      <w:tr>
        <w:tc>
          <w:tcPr>
            <w:tcW w:type="dxa" w:w="5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Corrective action follow-up</w:t>
            </w:r>
          </w:p>
        </w:tc>
        <w:tc>
          <w:tcPr>
            <w:tcW w:type="dxa" w:w="40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Per agreed deadlines after reporting</w:t>
            </w:r>
          </w:p>
        </w:tc>
      </w:tr>
    </w:tbl>
    <w:p>
      <w:pPr>
        <w:pStyle w:val="Heading1"/>
      </w:pPr>
      <w:r>
        <w:t xml:space="preserve">7. Areas to be Audited</w:t>
      </w:r>
    </w:p>
    <w:p>
      <w:pPr>
        <w:spacing w:after="120" w:line="276"/>
        <w:jc w:val="both"/>
      </w:pPr>
      <w:r>
        <w:rPr>
          <w:sz w:val="22"/>
          <w:szCs w:val="22"/>
        </w:rPr>
        <w:t xml:space="preserve">The audit examines the full ISMS scope across the management clauses and the applicable Annex A control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500"/>
        <w:gridCol w:w="3360"/>
      </w:tblGrid>
      <w:tr>
        <w:trPr>
          <w:tblHeader/>
        </w:trPr>
        <w:tc>
          <w:tcPr>
            <w:tcW w:type="dxa" w:w="1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Area</w:t>
            </w:r>
          </w:p>
        </w:tc>
        <w:tc>
          <w:tcPr>
            <w:tcW w:type="dxa" w:w="450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Focus</w:t>
            </w:r>
          </w:p>
        </w:tc>
        <w:tc>
          <w:tcPr>
            <w:tcW w:type="dxa" w:w="3360"/>
            <w:tcBorders>
              <w:top w:val="single" w:color="CCCCCC" w:sz="1"/>
              <w:left w:val="single" w:color="CCCCCC" w:sz="1"/>
              <w:bottom w:val="single" w:color="CCCCCC" w:sz="1"/>
              <w:right w:val="single" w:color="CCCCCC" w:sz="1"/>
            </w:tcBorders>
            <w:shd w:fill="1F6FC2" w:val="clear"/>
            <w:tcMar>
              <w:top w:type="dxa" w:w="80"/>
              <w:left w:type="dxa" w:w="120"/>
              <w:bottom w:type="dxa" w:w="80"/>
              <w:right w:type="dxa" w:w="120"/>
            </w:tcMar>
            <w:vAlign w:val="center"/>
          </w:tcPr>
          <w:p>
            <w:r>
              <w:rPr>
                <w:b/>
                <w:bCs/>
                <w:color w:val="FFFFFF"/>
                <w:sz w:val="18"/>
                <w:szCs w:val="18"/>
              </w:rPr>
              <w:t xml:space="preserve">Primary Auditee(s)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4</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Context of the organisation, ISMS scope, interested parties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 / Nirmay Soni</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5</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Leadership, policy, roles and responsibilities</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Tony Stark / 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6</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Risk assessment, risk treatment, information security objectives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 / Nirmay Soni</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7</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Resources, competence, awareness, communication, documented information</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8</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Operational planning and control, operation of risk processes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Maria Hill / Natalia Romanoff</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Clause 9</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Monitoring and measurement, internal audit, management review</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 / James Rhodes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Clause 10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Nonconformity, corrective action, continual improvement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Annex A (Org / People)</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Organisational and people controls (policies, roles, supplier, HR security)</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Happy Hogan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bCs/>
                <w:sz w:val="18"/>
                <w:szCs w:val="18"/>
              </w:rPr>
              <w:t xml:space="preserve">Annex A (Physical)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Physical controls (largely AWS responsibility under the shared model)</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sz w:val="18"/>
                <w:szCs w:val="18"/>
              </w:rPr>
              <w:t xml:space="preserve">Maria Hill</w:t>
            </w:r>
          </w:p>
        </w:tc>
      </w:tr>
      <w:tr>
        <w:tc>
          <w:tcPr>
            <w:tcW w:type="dxa" w:w="1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bCs/>
                <w:sz w:val="18"/>
                <w:szCs w:val="18"/>
              </w:rPr>
              <w:t xml:space="preserve">Annex A (Tech)</w:t>
            </w:r>
          </w:p>
        </w:tc>
        <w:tc>
          <w:tcPr>
            <w:tcW w:type="dxa" w:w="450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Technological controls (access, cryptography, logging, secure development)</w:t>
            </w:r>
          </w:p>
        </w:tc>
        <w:tc>
          <w:tcPr>
            <w:tcW w:type="dxa" w:w="3360"/>
            <w:tcBorders>
              <w:top w:val="single" w:color="CCCCCC" w:sz="1"/>
              <w:left w:val="single" w:color="CCCCCC" w:sz="1"/>
              <w:bottom w:val="single" w:color="CCCCCC" w:sz="1"/>
              <w:right w:val="single" w:color="CCCCCC" w:sz="1"/>
            </w:tcBorders>
            <w:shd w:fill="EAF2FB" w:val="clear"/>
            <w:tcMar>
              <w:top w:type="dxa" w:w="80"/>
              <w:left w:type="dxa" w:w="120"/>
              <w:bottom w:type="dxa" w:w="80"/>
              <w:right w:type="dxa" w:w="120"/>
            </w:tcMar>
            <w:vAlign w:val="center"/>
          </w:tcPr>
          <w:p>
            <w:r>
              <w:rPr>
                <w:b w:val="false"/>
                <w:bCs w:val="false"/>
                <w:sz w:val="18"/>
                <w:szCs w:val="18"/>
              </w:rPr>
              <w:t xml:space="preserve">Maria Hill / Natalia Romanoff / James Rhodes</w:t>
            </w:r>
          </w:p>
        </w:tc>
      </w:tr>
    </w:tbl>
    <w:p>
      <w:pPr>
        <w:pStyle w:val="Heading1"/>
      </w:pPr>
      <w:r>
        <w:t xml:space="preserve">8. Audit Methods</w:t>
      </w:r>
    </w:p>
    <w:p>
      <w:pPr>
        <w:spacing w:after="160" w:line="276"/>
        <w:jc w:val="both"/>
      </w:pPr>
      <w:r>
        <w:rPr>
          <w:sz w:val="22"/>
          <w:szCs w:val="22"/>
        </w:rPr>
        <w:t xml:space="preserve">The audit uses document review, interviews, observation, sampling of records, and testing of operational controls where applicable. The detailed approach is described in Audit_Methodology.docx.</w:t>
      </w:r>
    </w:p>
    <w:p>
      <w:pPr>
        <w:pStyle w:val="Heading1"/>
      </w:pPr>
      <w:r>
        <w:t xml:space="preserve">9. Reporting and Follow-up</w:t>
      </w:r>
    </w:p>
    <w:p>
      <w:pPr>
        <w:pStyle w:val="ListParagraph"/>
        <w:numPr>
          <w:ilvl w:val="0"/>
          <w:numId w:val="2"/>
        </w:numPr>
        <w:spacing w:after="80" w:line="276"/>
      </w:pPr>
      <w:r>
        <w:rPr>
          <w:sz w:val="22"/>
          <w:szCs w:val="22"/>
        </w:rPr>
        <w:t xml:space="preserve">A draft audit report is issued to management within 14 days of audit completion.</w:t>
      </w:r>
    </w:p>
    <w:p>
      <w:pPr>
        <w:pStyle w:val="ListParagraph"/>
        <w:numPr>
          <w:ilvl w:val="0"/>
          <w:numId w:val="2"/>
        </w:numPr>
        <w:spacing w:after="80" w:line="276"/>
      </w:pPr>
      <w:r>
        <w:rPr>
          <w:sz w:val="22"/>
          <w:szCs w:val="22"/>
        </w:rPr>
        <w:t xml:space="preserve">Findings are classified and tracked through corrective action based on severity and agreed deadlines.</w:t>
      </w:r>
    </w:p>
    <w:p>
      <w:pPr>
        <w:pStyle w:val="ListParagraph"/>
        <w:numPr>
          <w:ilvl w:val="0"/>
          <w:numId w:val="2"/>
        </w:numPr>
        <w:spacing w:after="80" w:line="276"/>
      </w:pPr>
      <w:r>
        <w:rPr>
          <w:sz w:val="22"/>
          <w:szCs w:val="22"/>
        </w:rPr>
        <w:t xml:space="preserve">Audit results are provided as an input to the next Management Review (Clause 9.3).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6FC2" w:sz="4" w:space="6"/>
      </w:pBdr>
      <w:tabs>
        <w:tab w:val="right" w:pos="9360"/>
      </w:tabs>
      <w:spacing w:before="0"/>
    </w:pPr>
    <w:r>
      <w:rPr>
        <w:color w:val="666666"/>
        <w:sz w:val="16"/>
        <w:szCs w:val="16"/>
      </w:rPr>
      <w:t xml:space="preserve">Classification: Internal</w:t>
    </w:r>
    <w:r>
      <w:rPr>
        <w:color w:val="666666"/>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6FC2" w:sz="4" w:space="6"/>
      </w:pBdr>
      <w:tabs>
        <w:tab w:val="right" w:pos="9360"/>
      </w:tabs>
      <w:spacing w:after="0"/>
    </w:pPr>
    <w:r>
      <w:rPr>
        <w:b/>
        <w:bCs/>
        <w:color w:val="1F6FC2"/>
        <w:sz w:val="16"/>
        <w:szCs w:val="16"/>
      </w:rPr>
      <w:t xml:space="preserve">Stark Industries Inc.</w:t>
    </w:r>
    <w:r>
      <w:rPr>
        <w:color w:val="666666"/>
        <w:sz w:val="16"/>
        <w:szCs w:val="16"/>
      </w:rPr>
      <w:t xml:space="preserve">	Internal Audit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C2" w:sz="6" w:space="4"/>
      </w:pBdr>
      <w:spacing w:after="160" w:before="320"/>
      <w:outlineLvl w:val="0"/>
    </w:pPr>
    <w:rPr>
      <w:rFonts w:ascii="Arial" w:cs="Arial" w:eastAsia="Arial" w:hAnsi="Arial"/>
      <w:b/>
      <w:bCs/>
      <w:color w:val="1F6FC2"/>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A233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Audit Plan</dc:title>
  <dc:creator>Nirmay Soni</dc:creator>
  <cp:lastModifiedBy>Un-named</cp:lastModifiedBy>
  <cp:revision>1</cp:revision>
  <dcterms:created xsi:type="dcterms:W3CDTF">2026-05-31T09:51:23.829Z</dcterms:created>
  <dcterms:modified xsi:type="dcterms:W3CDTF">2026-05-31T09:51:23.840Z</dcterms:modified>
</cp:coreProperties>
</file>

<file path=docProps/custom.xml><?xml version="1.0" encoding="utf-8"?>
<Properties xmlns="http://schemas.openxmlformats.org/officeDocument/2006/custom-properties" xmlns:vt="http://schemas.openxmlformats.org/officeDocument/2006/docPropsVTypes"/>
</file>