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Internal Audit Report</w:t>
      </w:r>
    </w:p>
    <w:p>
      <w:pPr>
        <w:spacing w:after="0" w:before="360"/>
        <w:jc w:val="center"/>
      </w:pPr>
      <w:r>
        <w:rPr>
          <w:i/>
          <w:iCs/>
          <w:color w:val="666666"/>
          <w:sz w:val="24"/>
          <w:szCs w:val="24"/>
        </w:rPr>
        <w:t xml:space="preserve">ISO/IEC 27001:2022 Internal Audit - Stark Industries Inc.</w:t>
      </w:r>
    </w:p>
    <w:p>
      <w:pPr>
        <w:spacing w:after="0" w:before="2400"/>
        <w:jc w:val="center"/>
      </w:pPr>
      <w:r>
        <w:rPr>
          <w:color w:val="666666"/>
          <w:sz w:val="20"/>
          <w:szCs w:val="20"/>
        </w:rPr>
        <w:t xml:space="preserve">Prepared by: Nirmay Soni, Internal Auditor</w:t>
      </w:r>
    </w:p>
    <w:p>
      <w:pPr>
        <w:spacing w:after="0" w:before="100"/>
        <w:jc w:val="center"/>
      </w:pPr>
      <w:r>
        <w:rPr>
          <w:color w:val="666666"/>
          <w:sz w:val="20"/>
          <w:szCs w:val="20"/>
        </w:rPr>
        <w:t xml:space="preserve">Date issued: 30 March 2026</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30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30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Per audit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Next audit</w:t>
            </w:r>
          </w:p>
        </w:tc>
      </w:tr>
    </w:tbl>
    <w:p>
      <w:pPr>
        <w:pStyle w:val="Heading1"/>
      </w:pPr>
      <w:r>
        <w:t xml:space="preserve">1. Executive Summary</w:t>
      </w:r>
    </w:p>
    <w:p>
      <w:pPr>
        <w:spacing w:after="160" w:line="276"/>
        <w:jc w:val="both"/>
      </w:pPr>
      <w:r>
        <w:rPr>
          <w:sz w:val="22"/>
          <w:szCs w:val="22"/>
        </w:rPr>
        <w:t xml:space="preserve">An internal audit of the Stark Industries Information Security Management System (ISMS) was conducted from 16 to 20 March 2026 against ISO/IEC 27001:2022, internal policies, and applicable legal requirements. The ISMS was found to be largely conforming and broadly ready for external certification. The audit raised three Minor nonconformities and two opportunities for improvement, with no Major nonconformities. Closing the minor findings is recommended before the external certification audit.</w:t>
      </w:r>
    </w:p>
    <w:p>
      <w:pPr>
        <w:pStyle w:val="Heading1"/>
      </w:pPr>
      <w:r>
        <w:t xml:space="preserve">2. Scope and Objectives</w:t>
      </w:r>
    </w:p>
    <w:p>
      <w:pPr>
        <w:spacing w:after="80" w:line="276"/>
        <w:jc w:val="both"/>
      </w:pPr>
      <w:r>
        <w:rPr>
          <w:sz w:val="22"/>
          <w:szCs w:val="22"/>
        </w:rPr>
        <w:t xml:space="preserve">Scope: the development, deployment, and management of the Stark Industries SaaS marketing-automation platform, including the people, processes, and AWS-hosted infrastructure that support it. The scope is limited to the SaaS application.</w:t>
      </w:r>
    </w:p>
    <w:p>
      <w:pPr>
        <w:spacing w:after="160" w:line="276"/>
        <w:jc w:val="both"/>
      </w:pPr>
      <w:r>
        <w:rPr>
          <w:sz w:val="22"/>
          <w:szCs w:val="22"/>
        </w:rPr>
        <w:t xml:space="preserve">Objectives: to determine conformity of the ISMS with ISO/IEC 27001:2022 and the organisation's own requirements, to evaluate the implementation and effectiveness of Annex A controls, to identify nonconformities and opportunities for improvement, and to assess readiness for external certification.</w:t>
      </w:r>
    </w:p>
    <w:p>
      <w:pPr>
        <w:pStyle w:val="Heading1"/>
      </w:pPr>
      <w:r>
        <w:t xml:space="preserve">3. Audit Criteria</w:t>
      </w:r>
    </w:p>
    <w:p>
      <w:pPr>
        <w:pStyle w:val="ListParagraph"/>
        <w:numPr>
          <w:ilvl w:val="0"/>
          <w:numId w:val="2"/>
        </w:numPr>
        <w:spacing w:after="80" w:line="276"/>
      </w:pPr>
      <w:r>
        <w:rPr>
          <w:sz w:val="22"/>
          <w:szCs w:val="22"/>
        </w:rPr>
        <w:t xml:space="preserve">ISO/IEC 27001:2022 requirements (Clauses 4 to 10 and Annex A via the Statement of Applicability).</w:t>
      </w:r>
    </w:p>
    <w:p>
      <w:pPr>
        <w:pStyle w:val="ListParagraph"/>
        <w:numPr>
          <w:ilvl w:val="0"/>
          <w:numId w:val="2"/>
        </w:numPr>
        <w:spacing w:after="80" w:line="276"/>
      </w:pPr>
      <w:r>
        <w:rPr>
          <w:sz w:val="22"/>
          <w:szCs w:val="22"/>
        </w:rPr>
        <w:t xml:space="preserve">Stark Industries' ISMS policies and procedures.</w:t>
      </w:r>
    </w:p>
    <w:p>
      <w:pPr>
        <w:pStyle w:val="ListParagraph"/>
        <w:numPr>
          <w:ilvl w:val="0"/>
          <w:numId w:val="2"/>
        </w:numPr>
        <w:spacing w:after="80" w:line="276"/>
      </w:pPr>
      <w:r>
        <w:rPr>
          <w:sz w:val="22"/>
          <w:szCs w:val="22"/>
        </w:rPr>
        <w:t xml:space="preserve">Applicable legal, regulatory, and contractual requirements relevant to the SaaS platform.</w:t>
      </w:r>
    </w:p>
    <w:p>
      <w:pPr>
        <w:pStyle w:val="Heading1"/>
      </w:pPr>
      <w:r>
        <w:t xml:space="preserve">4. Audit Methodology</w:t>
      </w:r>
    </w:p>
    <w:p>
      <w:pPr>
        <w:spacing w:after="160" w:line="276"/>
        <w:jc w:val="both"/>
      </w:pPr>
      <w:r>
        <w:rPr>
          <w:sz w:val="22"/>
          <w:szCs w:val="22"/>
        </w:rPr>
        <w:t xml:space="preserve">The audit was risk-based and evidence-based. Evidence was gathered through document review, interviews with the five auditees, observation of processes and system configuration, and sampling of records. Each piece of evidence was recorded against the relevant clause or control. The detailed working papers are held in the audit checklist and the fieldwork log.</w:t>
      </w:r>
    </w:p>
    <w:p>
      <w:pPr>
        <w:pStyle w:val="Heading1"/>
      </w:pPr>
      <w:r>
        <w:t xml:space="preserve">5. Audit Findings</w:t>
      </w:r>
    </w:p>
    <w:p>
      <w:pPr>
        <w:spacing w:after="120" w:line="276"/>
        <w:jc w:val="both"/>
      </w:pPr>
      <w:r>
        <w:rPr>
          <w:sz w:val="22"/>
          <w:szCs w:val="22"/>
        </w:rPr>
        <w:t xml:space="preserve">Overall, the ISMS was found to be largely conforming. Of the 93 Annex A controls, 83 are applicable and 10 are not applicable (physical and data-centre controls delivered by AWS under the shared-responsibility model). The management clauses (4 to 10) were met, with one minor exception at Clause 4.2. No Major nonconformities were identified.</w:t>
      </w:r>
    </w:p>
    <w:p>
      <w:pPr>
        <w:pStyle w:val="Heading2"/>
      </w:pPr>
      <w:r>
        <w:t xml:space="preserve">5.1 Nonconformities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2200"/>
        <w:gridCol w:w="1000"/>
      </w:tblGrid>
      <w:tr>
        <w:trPr>
          <w:tblHeader/>
        </w:trPr>
        <w:tc>
          <w:tcPr>
            <w:tcW w:type="dxa" w:w="11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Ref</w:t>
            </w:r>
          </w:p>
        </w:tc>
        <w:tc>
          <w:tcPr>
            <w:tcW w:type="dxa" w:w="5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Nonconformity</w:t>
            </w:r>
          </w:p>
        </w:tc>
        <w:tc>
          <w:tcPr>
            <w:tcW w:type="dxa" w:w="2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Clause / Control</w:t>
            </w:r>
          </w:p>
        </w:tc>
        <w:tc>
          <w:tcPr>
            <w:tcW w:type="dxa" w:w="1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Severity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NC-1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Legal and regulatory requirements not formally identified. The Scope and Information Security Policy state that no legal requirements apply, which is incorrect for a US marketing SaaS (for example CAN-SPAM and US state privacy laws).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Clause 4.2 / A.5.31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Minor</w:t>
            </w:r>
          </w:p>
        </w:tc>
      </w:tr>
      <w:tr>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NC-2</w:t>
            </w:r>
          </w:p>
        </w:tc>
        <w:tc>
          <w:tcPr>
            <w:tcW w:type="dxa" w:w="5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Segregation of duties not formally addressed. In the small team, the same individuals develop, deploy, and review the same systems, with no documented compensating controls.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A.5.3</w:t>
            </w:r>
          </w:p>
        </w:tc>
        <w:tc>
          <w:tcPr>
            <w:tcW w:type="dxa" w:w="1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Minor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NC-3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Periodic access reviews not evidenced. Reviews are defined as quarterly in policy, but no record of a completed review for the period was available.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A.5.18 / A.8.2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Minor</w:t>
            </w:r>
          </w:p>
        </w:tc>
      </w:tr>
    </w:tbl>
    <w:p>
      <w:pPr>
        <w:pStyle w:val="Heading2"/>
      </w:pPr>
      <w:r>
        <w:t xml:space="preserve">5.2 Opportunities for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rPr>
          <w:tblHeader/>
        </w:trPr>
        <w:tc>
          <w:tcPr>
            <w:tcW w:type="dxa" w:w="11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Ref</w:t>
            </w:r>
          </w:p>
        </w:tc>
        <w:tc>
          <w:tcPr>
            <w:tcW w:type="dxa" w:w="62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Opportunity for Improvement</w:t>
            </w:r>
          </w:p>
        </w:tc>
        <w:tc>
          <w:tcPr>
            <w:tcW w:type="dxa" w:w="2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Control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OFI-1</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Single-cloud (AWS) dependency with no documented provider-failure or exit plan. Recommend a documented continuity and exit plan for prolonged AWS unavailability.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A.5.30</w:t>
            </w:r>
          </w:p>
        </w:tc>
      </w:tr>
      <w:tr>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OFI-2</w:t>
            </w:r>
          </w:p>
        </w:tc>
        <w:tc>
          <w:tcPr>
            <w:tcW w:type="dxa" w:w="6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Security awareness training is delivered, but completion is tracked informally. Recommend a simple training completion log to evidence coverage.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A.6.3</w:t>
            </w:r>
          </w:p>
        </w:tc>
      </w:tr>
    </w:tbl>
    <w:p>
      <w:pPr>
        <w:pStyle w:val="Heading2"/>
      </w:pPr>
      <w:r>
        <w:t xml:space="preserve">5.3 Conformities</w:t>
      </w:r>
    </w:p>
    <w:p>
      <w:pPr>
        <w:spacing w:after="160" w:line="276"/>
        <w:jc w:val="both"/>
      </w:pPr>
      <w:r>
        <w:rPr>
          <w:sz w:val="22"/>
          <w:szCs w:val="22"/>
        </w:rPr>
        <w:t xml:space="preserve">Leadership, policy, roles, risk management, objectives, competence, operations, monitoring, internal audit, management review, and the large majority of Annex A controls were found to be implemented and operating, supported by appropriate documentation and records.</w:t>
      </w:r>
    </w:p>
    <w:p>
      <w:pPr>
        <w:pStyle w:val="Heading1"/>
      </w:pPr>
      <w:r>
        <w:t xml:space="preserve">6. Traceability of Findings</w:t>
      </w:r>
    </w:p>
    <w:p>
      <w:pPr>
        <w:spacing w:after="120" w:line="276"/>
        <w:jc w:val="both"/>
      </w:pPr>
      <w:r>
        <w:rPr>
          <w:sz w:val="22"/>
          <w:szCs w:val="22"/>
        </w:rPr>
        <w:t xml:space="preserve">Each finding is traceable to its criterion, the evidence that supports it, the owner, and its current status. Evidence references map to the Evidence Register (E), Interview and Observation Notes (I), and Sampling Record (SA) in the fieldwork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2160"/>
        <w:gridCol w:w="1600"/>
      </w:tblGrid>
      <w:tr>
        <w:trPr>
          <w:tblHeader/>
        </w:trPr>
        <w:tc>
          <w:tcPr>
            <w:tcW w:type="dxa" w:w="1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Finding</w:t>
            </w:r>
          </w:p>
        </w:tc>
        <w:tc>
          <w:tcPr>
            <w:tcW w:type="dxa" w:w="2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Clause / Control</w:t>
            </w:r>
          </w:p>
        </w:tc>
        <w:tc>
          <w:tcPr>
            <w:tcW w:type="dxa" w:w="2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Evidence Ref</w:t>
            </w:r>
          </w:p>
        </w:tc>
        <w:tc>
          <w:tcPr>
            <w:tcW w:type="dxa" w:w="21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NC-1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Clause 4.2 / A.5.31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E02, I01 (Scope &amp; Policy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Open</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NC-2</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A.5.3</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E15, I07 (SoD review)</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Happy Hogan</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Open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NC-3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A.5.18 / A.8.2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E12, I06, SA01 (access sample)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Maria Hill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Open</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OFI-1</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A.5.30</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E18, I08 (continuity discussion)</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Maria Hill</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Open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OFI-2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A.6.3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E09, I04, SA03 (training sample)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Open</w:t>
            </w:r>
          </w:p>
        </w:tc>
      </w:tr>
    </w:tbl>
    <w:p>
      <w:pPr>
        <w:pStyle w:val="Heading1"/>
      </w:pPr>
      <w:r>
        <w:t xml:space="preserve">7. Recommendations and Next Steps</w:t>
      </w:r>
    </w:p>
    <w:p>
      <w:pPr>
        <w:pStyle w:val="ListParagraph"/>
        <w:numPr>
          <w:ilvl w:val="0"/>
          <w:numId w:val="2"/>
        </w:numPr>
        <w:spacing w:after="80" w:line="276"/>
      </w:pPr>
      <w:r>
        <w:rPr>
          <w:sz w:val="22"/>
          <w:szCs w:val="22"/>
        </w:rPr>
        <w:t xml:space="preserve">Establish and maintain a legal requirements register, and correct the scope and policy statements that declare no legal requirements apply (NC-1).</w:t>
      </w:r>
    </w:p>
    <w:p>
      <w:pPr>
        <w:pStyle w:val="ListParagraph"/>
        <w:numPr>
          <w:ilvl w:val="0"/>
          <w:numId w:val="2"/>
        </w:numPr>
        <w:spacing w:after="80" w:line="276"/>
      </w:pPr>
      <w:r>
        <w:rPr>
          <w:sz w:val="22"/>
          <w:szCs w:val="22"/>
        </w:rPr>
        <w:t xml:space="preserve">Document segregation-of-duties conflicts and the compensating controls applied (NC-2).</w:t>
      </w:r>
    </w:p>
    <w:p>
      <w:pPr>
        <w:pStyle w:val="ListParagraph"/>
        <w:numPr>
          <w:ilvl w:val="0"/>
          <w:numId w:val="2"/>
        </w:numPr>
        <w:spacing w:after="80" w:line="276"/>
      </w:pPr>
      <w:r>
        <w:rPr>
          <w:sz w:val="22"/>
          <w:szCs w:val="22"/>
        </w:rPr>
        <w:t xml:space="preserve">Perform and record periodic (quarterly) access reviews, including privileged access (NC-3).</w:t>
      </w:r>
    </w:p>
    <w:p>
      <w:pPr>
        <w:pStyle w:val="ListParagraph"/>
        <w:numPr>
          <w:ilvl w:val="0"/>
          <w:numId w:val="2"/>
        </w:numPr>
        <w:spacing w:after="80" w:line="276"/>
      </w:pPr>
      <w:r>
        <w:rPr>
          <w:sz w:val="22"/>
          <w:szCs w:val="22"/>
        </w:rPr>
        <w:t xml:space="preserve">Document a continuity and exit plan addressing prolonged loss of the cloud provider (OFI-1).</w:t>
      </w:r>
    </w:p>
    <w:p>
      <w:pPr>
        <w:pStyle w:val="ListParagraph"/>
        <w:numPr>
          <w:ilvl w:val="0"/>
          <w:numId w:val="2"/>
        </w:numPr>
        <w:spacing w:after="80" w:line="276"/>
      </w:pPr>
      <w:r>
        <w:rPr>
          <w:sz w:val="22"/>
          <w:szCs w:val="22"/>
        </w:rPr>
        <w:t xml:space="preserve">Introduce a simple training-completion log to evidence coverage across all staff (OFI-2).</w:t>
      </w:r>
    </w:p>
    <w:p>
      <w:pPr>
        <w:spacing w:after="0" w:line="276"/>
        <w:jc w:val="both"/>
      </w:pPr>
      <w:r>
        <w:rPr>
          <w:sz w:val="22"/>
          <w:szCs w:val="22"/>
        </w:rPr>
        <w:t xml:space="preserve">Corrective action plans, with owners and target dates, should be agreed and tracked to closure. Progress is followed up in the corrective action stage and reported to the next management review.</w:t>
      </w:r>
    </w:p>
    <w:p>
      <w:pPr>
        <w:pStyle w:val="Heading1"/>
      </w:pPr>
      <w:r>
        <w:t xml:space="preserve">8. Certification Readiness</w:t>
      </w:r>
    </w:p>
    <w:p>
      <w:pPr>
        <w:spacing w:after="160" w:line="276"/>
        <w:jc w:val="both"/>
      </w:pPr>
      <w:r>
        <w:rPr>
          <w:sz w:val="22"/>
          <w:szCs w:val="22"/>
        </w:rPr>
        <w:t xml:space="preserve">The ISMS is broadly ready for external certification. There are no Major nonconformities and no fundamental gaps in the management system. The three Minor nonconformities are documentation and operational gaps that can be closed in a short timeframe. Subject to closure of the minor findings, the organisation is in a good position to proceed to the external certification audit.</w:t>
      </w:r>
    </w:p>
    <w:p>
      <w:pPr>
        <w:pStyle w:val="Heading1"/>
      </w:pPr>
      <w:r>
        <w:t xml:space="preserve">9. Distribution</w:t>
      </w:r>
    </w:p>
    <w:p>
      <w:pPr>
        <w:spacing w:after="120" w:line="276"/>
        <w:jc w:val="both"/>
      </w:pPr>
      <w:r>
        <w:rPr>
          <w:sz w:val="22"/>
          <w:szCs w:val="22"/>
        </w:rPr>
        <w:t xml:space="preserve">This report is distributed promptly to top management and relevant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Recipient</w:t>
            </w:r>
          </w:p>
        </w:tc>
        <w:tc>
          <w:tcPr>
            <w:tcW w:type="dxa" w:w="31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Tony Stark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Chief Executive Officer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For information and decision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Happy Hogan</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Manager</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For action (corrective 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James Rhodes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Information Security Analyst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For information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Natalia Romanoff</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Software Developer</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For information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Maria Hill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IT Infrastructure Engineer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For action (corrective actions)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Internal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Report</dc:title>
  <dc:creator>Nirmay Soni</dc:creator>
  <cp:lastModifiedBy>Un-named</cp:lastModifiedBy>
  <cp:revision>1</cp:revision>
  <dcterms:created xsi:type="dcterms:W3CDTF">2026-06-04T15:32:30.913Z</dcterms:created>
  <dcterms:modified xsi:type="dcterms:W3CDTF">2026-06-04T15:32:30.927Z</dcterms:modified>
</cp:coreProperties>
</file>

<file path=docProps/custom.xml><?xml version="1.0" encoding="utf-8"?>
<Properties xmlns="http://schemas.openxmlformats.org/officeDocument/2006/custom-properties" xmlns:vt="http://schemas.openxmlformats.org/officeDocument/2006/docPropsVTypes"/>
</file>