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Information Security Management System Objectives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(Clause 6.2)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document outlines the information security objectives of Stark Industries Inc., established in alignment with business goals and ISO/IEC 27001:2022 Clause 6.2. The objectives are measurable, monitored, communicated, and updated to support continual improvement of the ISMS.</w:t>
      </w:r>
    </w:p>
    <w:p>
      <w:pPr>
        <w:pStyle w:val="Heading1"/>
      </w:pPr>
      <w:r>
        <w:t xml:space="preserve">2.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Applies to all employees, contractors, and operations within the ISMS scope, focusing on the development, deployment, and maintenance of the SaaS marketing platform.</w:t>
      </w:r>
    </w:p>
    <w:p>
      <w:pPr>
        <w:pStyle w:val="Heading1"/>
      </w:pPr>
      <w:r>
        <w:t xml:space="preserve">3. Objectives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2060"/>
        <w:gridCol w:w="1300"/>
        <w:gridCol w:w="9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Ensure all production deployments undergo secure code 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 of releases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 code review findings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Developer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Perform application penetration testing and remediate High and Medium findings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Penetration test remediation 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Maintain SaaS platform uptime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99.9% monthly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monitoring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Infrastructure 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Train all staff in basic security awareness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 completion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attendance 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Address critical vulnerabilities in production within 5 business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95% on time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Vulnerability tracking tool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 Analyst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Complete internal ISMS audit annually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audit per year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audit 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GRC Analyst (Nirmay Soni)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Keep the risk register up to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overdue entries over 30 days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register 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GRC Analyst (Nirmay Soni)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Achieve ISO 27001 certification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Gain certification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Certification outcome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Annually</w:t>
            </w:r>
          </w:p>
        </w:tc>
      </w:tr>
    </w:tbl>
    <w:p>
      <w:pPr>
        <w:pStyle w:val="Heading1"/>
      </w:pPr>
      <w:r>
        <w:t xml:space="preserve">4. Objective Management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Objectives are aligned with business strategy, risk assessment outcomes, and stakeholder requirements. Each objective is clearly defined, assigned to a responsible owner, and tracked using specific KPIs or tools. Objectives are reviewed in management reviews (Clause 9.3), internal audits, and risk assessments.</w:t>
      </w:r>
    </w:p>
    <w:p>
      <w:pPr>
        <w:pStyle w:val="Heading1"/>
      </w:pPr>
      <w:r>
        <w:t xml:space="preserve">5. Communication and Monitoring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Objectives are communicated internally through onboarding, training sessions, and ISMS documentation. Performance is monitored continuously and reported during management review meetings.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Information Security Management System Objectives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Management System Objectives</dc:title>
  <dc:creator>Nirmay Soni</dc:creator>
  <cp:lastModifiedBy>Un-named</cp:lastModifiedBy>
  <cp:revision>1</cp:revision>
  <dcterms:created xsi:type="dcterms:W3CDTF">2026-06-06T05:45:01.045Z</dcterms:created>
  <dcterms:modified xsi:type="dcterms:W3CDTF">2026-06-06T05:45:01.045Z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