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Risk Assessment Process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6.1.2)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document defines the methodology used by Stark Industries Inc. to identify, analyse, and evaluate information security risks. It ensures a consistent, repeatable, and effective approach to risk assessment in support of the ISMS.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methodology applies to all information assets, personnel, systems, and operations within the ISMS scope, specifically the development, deployment, and maintenance of the SaaS marketing platform.</w:t>
      </w:r>
    </w:p>
    <w:p>
      <w:pPr>
        <w:pStyle w:val="Heading1"/>
      </w:pPr>
      <w:r>
        <w:t xml:space="preserve">3. Risk Assessment Process Overview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Asset identification.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Threat and vulnerability identification.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Risk analysis (likelihood times impact).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Risk evaluation.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Risk ownership assignment.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Documentation of results.</w:t>
      </w:r>
    </w:p>
    <w:p>
      <w:pPr>
        <w:pStyle w:val="Heading1"/>
      </w:pPr>
      <w:r>
        <w:t xml:space="preserve">4. Risk Assessment Criteria</w:t>
      </w:r>
    </w:p>
    <w:p>
      <w:pPr>
        <w:pStyle w:val="Heading2"/>
      </w:pPr>
      <w:r>
        <w:t xml:space="preserve">4.1 Likelihood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Rare - may occur in exceptional circumstances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Unlikely - not expected but possible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Possible - might occur at some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Likely - expected to occur occasionally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Almost certain - expected to occur frequently</w:t>
            </w:r>
          </w:p>
        </w:tc>
      </w:tr>
    </w:tbl>
    <w:p>
      <w:pPr>
        <w:pStyle w:val="Heading2"/>
      </w:pPr>
      <w:r>
        <w:t xml:space="preserve">4.2 Impact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Negligible - no significant disruption or damage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 - limited financial or reputational 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- noticeable impact requiring management attention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 - serious impact on operations, finances, or compliance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- critical impact, regulatory breach, or long-term damage</w:t>
            </w:r>
          </w:p>
        </w:tc>
      </w:tr>
    </w:tbl>
    <w:p>
      <w:pPr>
        <w:spacing w:after="160" w:line="276"/>
        <w:jc w:val="both"/>
      </w:pPr>
      <w:r>
        <w:rPr>
          <w:sz w:val="22"/>
          <w:szCs w:val="22"/>
        </w:rPr>
        <w:t xml:space="preserve">Risk score = likelihood times impact. Maximum score = 25.</w:t>
      </w:r>
    </w:p>
    <w:p>
      <w:pPr>
        <w:pStyle w:val="Heading1"/>
      </w:pPr>
      <w:r>
        <w:t xml:space="preserve">5. Risk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 to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Acceptable risk - monitor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 to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Treatment or mitigation required based on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15 to 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Unacceptable - immediate treatment required</w:t>
            </w:r>
          </w:p>
        </w:tc>
      </w:tr>
    </w:tbl>
    <w:p>
      <w:pPr>
        <w:pStyle w:val="Heading1"/>
      </w:pPr>
      <w:r>
        <w:t xml:space="preserve">6. Risk 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Low risks are generally acceptable with monitoring.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Medium risks require business justification or partial mitigation.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High risks must be treated or explicitly accepted by senior management.</w:t>
      </w:r>
    </w:p>
    <w:p>
      <w:pPr>
        <w:pStyle w:val="Heading1"/>
      </w:pPr>
      <w:r>
        <w:t xml:space="preserve">7. Asset Identification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Assets considered include the source code repository, CI/CD pipeline, cloud infrastructure (AWS EC2, S3), employee laptops, and data.</w:t>
      </w:r>
    </w:p>
    <w:p>
      <w:pPr>
        <w:pStyle w:val="Heading1"/>
      </w:pPr>
      <w:r>
        <w:t xml:space="preserve">8. Threats and Vulnerabilities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Recognised sources are used, including the OWASP Top 10, NIST SP 800-30, industry threat intelligence, and internal incident history. Each asset is assessed for applicable threats and vulnerabilities affecting confidentiality, integrity, or availability.</w:t>
      </w:r>
    </w:p>
    <w:p>
      <w:pPr>
        <w:pStyle w:val="Heading1"/>
      </w:pPr>
      <w:r>
        <w:t xml:space="preserve">9. Risk Ownership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Every identified risk is assigned to a risk owner, typically the owner of the associated asset or business process, responsible for validating assessments and supporting treatment.</w:t>
      </w:r>
    </w:p>
    <w:p>
      <w:pPr>
        <w:pStyle w:val="Heading1"/>
      </w:pPr>
      <w:r>
        <w:t xml:space="preserve">10. Review and Frequency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Reviewed at least annually.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Re-performed on significant changes to systems, processes, or threats.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Updated before management reviews and internal audits.</w:t>
      </w:r>
    </w:p>
    <w:p>
      <w:pPr>
        <w:pStyle w:val="Heading1"/>
      </w:pPr>
      <w:r>
        <w:t xml:space="preserve">11. Outputs and Records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Risk register, risk assessment report, updated asset inventory, treatment plan input, and Statement of Applicability input.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Risk Assessment Process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Process</dc:title>
  <dc:creator>Nirmay Soni</dc:creator>
  <cp:lastModifiedBy>Un-named</cp:lastModifiedBy>
  <cp:revision>1</cp:revision>
  <dcterms:created xsi:type="dcterms:W3CDTF">2026-06-06T05:45:00.622Z</dcterms:created>
  <dcterms:modified xsi:type="dcterms:W3CDTF">2026-06-06T05:45:00.635Z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