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  <w:jc w:val="center"/>
      </w:pPr>
      <w:r>
        <w:rPr>
          <w:b/>
          <w:bCs/>
          <w:color w:val="1F6FC2"/>
          <w:sz w:val="28"/>
          <w:szCs w:val="28"/>
        </w:rPr>
        <w:t xml:space="preserve">STARK INDUSTRIES INC.</w:t>
      </w:r>
    </w:p>
    <w:p>
      <w:pPr>
        <w:spacing w:after="0" w:before="200"/>
        <w:jc w:val="center"/>
      </w:pPr>
      <w:r>
        <w:rPr>
          <w:b/>
          <w:bCs/>
          <w:color w:val="1A2330"/>
          <w:sz w:val="52"/>
          <w:szCs w:val="52"/>
        </w:rPr>
        <w:t xml:space="preserve">Risk Treatment Process and Plan</w:t>
      </w:r>
    </w:p>
    <w:p>
      <w:pPr>
        <w:spacing w:after="0" w:before="360"/>
        <w:jc w:val="center"/>
      </w:pPr>
      <w:r>
        <w:rPr>
          <w:i/>
          <w:iCs/>
          <w:color w:val="666666"/>
          <w:sz w:val="24"/>
          <w:szCs w:val="24"/>
        </w:rPr>
        <w:t xml:space="preserve">Stark Industries Inc. - ISMS (Clause 6.1.3)</w:t>
      </w:r>
    </w:p>
    <w:p>
      <w:pPr>
        <w:spacing w:after="0" w:before="2400"/>
        <w:jc w:val="center"/>
      </w:pPr>
      <w:r>
        <w:rPr>
          <w:color w:val="666666"/>
          <w:sz w:val="20"/>
          <w:szCs w:val="20"/>
        </w:rPr>
        <w:t xml:space="preserve">Author: Nirmay Soni, Cyber Security GRC Analyst</w:t>
      </w:r>
    </w:p>
    <w:p>
      <w:pPr>
        <w:spacing w:after="0" w:before="100"/>
        <w:jc w:val="center"/>
      </w:pPr>
      <w:r>
        <w:rPr>
          <w:color w:val="666666"/>
          <w:sz w:val="20"/>
          <w:szCs w:val="20"/>
        </w:rPr>
        <w:t xml:space="preserve">Approved by: Happy Hogan, Information Security Manager</w:t>
      </w:r>
    </w:p>
    <w:p>
      <w:pPr>
        <w:pageBreakBefore/>
      </w:pPr>
      <w:r>
        <w:br/>
        <w:t xml:space="preserve"/>
      </w:r>
    </w:p>
    <w:p>
      <w:pPr>
        <w:pStyle w:val="Heading1"/>
      </w:pPr>
      <w: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"/>
        <w:gridCol w:w="960"/>
        <w:gridCol w:w="1060"/>
        <w:gridCol w:w="1400"/>
        <w:gridCol w:w="1180"/>
        <w:gridCol w:w="1180"/>
        <w:gridCol w:w="1360"/>
        <w:gridCol w:w="1200"/>
      </w:tblGrid>
      <w:tr>
        <w:trPr>
          <w:tblHeader/>
        </w:trPr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C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C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C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C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C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C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Last Updated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C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Review Frequency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C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Next Review</w:t>
            </w:r>
          </w:p>
        </w:tc>
      </w:tr>
      <w:tr>
        <w:tc>
          <w:tcPr>
            <w:tcW w:type="dxa" w:w="1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 Jan 2026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Nirmay Soni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Initial issue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Happy Hogan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 Jan 2026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Annual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Jan 2027</w:t>
            </w:r>
          </w:p>
        </w:tc>
      </w:tr>
    </w:tbl>
    <w:p>
      <w:pPr>
        <w:pStyle w:val="Heading1"/>
      </w:pPr>
      <w:r>
        <w:t xml:space="preserve">1. Purpose</w:t>
      </w:r>
    </w:p>
    <w:p>
      <w:pPr>
        <w:spacing w:after="160" w:line="276"/>
        <w:jc w:val="both"/>
      </w:pPr>
      <w:r>
        <w:rPr>
          <w:sz w:val="22"/>
          <w:szCs w:val="22"/>
        </w:rPr>
        <w:t xml:space="preserve">This document defines the process by which Stark Industries Inc. selects and implements appropriate information security controls to treat identified risks, and provides a framework for developing, approving, and monitoring Risk Treatment Plans in accordance with ISO/IEC 27001:2022 Clause 6.1.3.</w:t>
      </w:r>
    </w:p>
    <w:p>
      <w:pPr>
        <w:pStyle w:val="Heading1"/>
      </w:pPr>
      <w:r>
        <w:t xml:space="preserve">2. Scope</w:t>
      </w:r>
    </w:p>
    <w:p>
      <w:pPr>
        <w:spacing w:after="160" w:line="276"/>
        <w:jc w:val="both"/>
      </w:pPr>
      <w:r>
        <w:rPr>
          <w:sz w:val="22"/>
          <w:szCs w:val="22"/>
        </w:rPr>
        <w:t xml:space="preserve">This process applies to all risks identified as unacceptable during risk assessment and covers all information assets, operations, and systems within the ISMS scope.</w:t>
      </w:r>
    </w:p>
    <w:p>
      <w:pPr>
        <w:pStyle w:val="Heading1"/>
      </w:pPr>
      <w:r>
        <w:t xml:space="preserve">3. Risk Treatment Objectives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Reduce information security risks to acceptable levels.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Ensure selected controls are proportionate and effective.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Document and track all treatment actions.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Integrate treatment into business operations.</w:t>
      </w:r>
    </w:p>
    <w:p>
      <w:pPr>
        <w:pStyle w:val="Heading1"/>
      </w:pPr>
      <w:r>
        <w:t xml:space="preserve">4. Risk Treatment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C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Option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C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Mitigate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Apply controls to reduce the likelihood and/or impact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Avoid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Discontinue the activity that causes the risk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Transfer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 the risk to a third party (for example via insurance or contracts)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Accept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Acknowledge the risk when within the organisation's risk tolerance</w:t>
            </w:r>
          </w:p>
        </w:tc>
      </w:tr>
    </w:tbl>
    <w:p>
      <w:pPr>
        <w:pStyle w:val="Heading1"/>
      </w:pPr>
      <w:r>
        <w:t xml:space="preserve">5. Control Selection</w:t>
      </w:r>
    </w:p>
    <w:p>
      <w:pPr>
        <w:spacing w:after="160" w:line="276"/>
        <w:jc w:val="both"/>
      </w:pPr>
      <w:r>
        <w:rPr>
          <w:sz w:val="22"/>
          <w:szCs w:val="22"/>
        </w:rPr>
        <w:t xml:space="preserve">Controls are selected based on risk severity, the nature of the asset and threat, business context and resource availability, and the ISO/IEC 27001:2022 Annex A control catalogue. All selected controls are documented and justified in the Statement of Applicability.</w:t>
      </w:r>
    </w:p>
    <w:p>
      <w:pPr>
        <w:pStyle w:val="Heading1"/>
      </w:pPr>
      <w:r>
        <w:t xml:space="preserve">6. Risk Treatment Plan (RTP)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C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C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Risk ID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Unique reference to the assessed risk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Asset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Associated information asset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Risk Description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Nature of the risk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Risk Level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Risk score before treatment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Treatment Option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Selected strategy (mitigate, avoid, transfer, accept)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Selected Controls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Specific Annex A or custom controls applied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Residual Risk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Risk level after controls are applied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Responsible Person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Assigned risk owner or implementer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Target Completion Date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Planned date for control implementation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Open / In Progress / Complete</w:t>
            </w:r>
          </w:p>
        </w:tc>
      </w:tr>
    </w:tbl>
    <w:p>
      <w:pPr>
        <w:pStyle w:val="Heading1"/>
      </w:pPr>
      <w:r>
        <w:t xml:space="preserve">7. Residual Risk and Acceptance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If residual risk is acceptable, no further action is required.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If residual risk exceeds the threshold, it must be formally accepted by top management (for example the CEO), and this acceptance documented.</w:t>
      </w:r>
    </w:p>
    <w:p>
      <w:pPr>
        <w:pStyle w:val="Heading1"/>
      </w:pPr>
      <w:r>
        <w:t xml:space="preserve">8. Monitoring and Review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Reviewed monthly by the Information Security Manager.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Tracked using a risk treatment log or dashboard.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sz w:val="22"/>
          <w:szCs w:val="22"/>
        </w:rPr>
        <w:t xml:space="preserve">Validated during internal audits and management reviews.</w:t>
      </w:r>
    </w:p>
    <w:p>
      <w:pPr>
        <w:pStyle w:val="Heading1"/>
      </w:pPr>
      <w:r>
        <w:t xml:space="preserve">9. Roles and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C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C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Responsibilities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Information Security Manager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Oversees treatment planning; validates control effectiveness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Cyber Security GRC Analyst (Nirmay Soni)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Maintains Risk Treatment Plans; coordinates updates and documentation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Risk Owners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Ensure implementation of assigned controls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Top Management (CEO)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Approves residual risk acceptance where required</w:t>
            </w:r>
          </w:p>
        </w:tc>
      </w:tr>
    </w:tbl>
    <w:p>
      <w:pPr>
        <w:pStyle w:val="Heading1"/>
      </w:pPr>
      <w:r>
        <w:t xml:space="preserve">10. Related Documents</w:t>
      </w:r>
    </w:p>
    <w:p>
      <w:pPr>
        <w:spacing w:after="160" w:line="276"/>
        <w:jc w:val="both"/>
      </w:pPr>
      <w:r>
        <w:rPr>
          <w:sz w:val="22"/>
          <w:szCs w:val="22"/>
        </w:rPr>
        <w:t xml:space="preserve">Asset inventory, Risk Assessment Process, risk register, Statement of Applicability, residual risk acceptance log, internal audit reports, and control implementation logs.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6FC2" w:sz="4" w:space="6"/>
      </w:pBdr>
      <w:tabs>
        <w:tab w:val="right" w:pos="9360"/>
      </w:tabs>
      <w:spacing w:before="0"/>
    </w:pPr>
    <w:r>
      <w:rPr>
        <w:color w:val="666666"/>
        <w:sz w:val="16"/>
        <w:szCs w:val="16"/>
      </w:rPr>
      <w:t xml:space="preserve">Classification: Internal</w:t>
    </w:r>
    <w:r>
      <w:rPr>
        <w:color w:val="666666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6FC2" w:sz="4" w:space="6"/>
      </w:pBdr>
      <w:tabs>
        <w:tab w:val="right" w:pos="9360"/>
      </w:tabs>
      <w:spacing w:after="0"/>
    </w:pPr>
    <w:r>
      <w:rPr>
        <w:b/>
        <w:bCs/>
        <w:color w:val="1F6FC2"/>
        <w:sz w:val="16"/>
        <w:szCs w:val="16"/>
      </w:rPr>
      <w:t xml:space="preserve">Stark Industries Inc.</w:t>
    </w:r>
    <w:r>
      <w:rPr>
        <w:color w:val="666666"/>
        <w:sz w:val="16"/>
        <w:szCs w:val="16"/>
      </w:rPr>
      <w:t xml:space="preserve">	Risk Treatment Process and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3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6FC2" w:sz="6" w:space="4"/>
      </w:pBdr>
      <w:spacing w:after="160" w:before="320"/>
      <w:outlineLvl w:val="0"/>
    </w:pPr>
    <w:rPr>
      <w:rFonts w:ascii="Arial" w:cs="Arial" w:eastAsia="Arial" w:hAnsi="Arial"/>
      <w:b/>
      <w:bCs/>
      <w:color w:val="1F6FC2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A2330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Treatment Process and Plan</dc:title>
  <dc:creator>Nirmay Soni</dc:creator>
  <cp:lastModifiedBy>Un-named</cp:lastModifiedBy>
  <cp:revision>1</cp:revision>
  <dcterms:created xsi:type="dcterms:W3CDTF">2026-06-06T05:45:00.910Z</dcterms:created>
  <dcterms:modified xsi:type="dcterms:W3CDTF">2026-06-06T05:45:00.910Z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