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6"/>
          <w:szCs w:val="56"/>
        </w:rPr>
        <w:t xml:space="preserve">Internal Audit Objectives</w:t>
      </w:r>
    </w:p>
    <w:p>
      <w:pPr>
        <w:spacing w:after="0" w:before="360"/>
        <w:jc w:val="center"/>
      </w:pPr>
      <w:r>
        <w:rPr>
          <w:i/>
          <w:iCs/>
          <w:color w:val="666666"/>
          <w:sz w:val="24"/>
          <w:szCs w:val="24"/>
        </w:rPr>
        <w:t xml:space="preserve">ISO/IEC 27001:2022 Internal Audit</w:t>
      </w:r>
    </w:p>
    <w:p>
      <w:pPr>
        <w:spacing w:after="0" w:before="2400"/>
        <w:jc w:val="center"/>
      </w:pPr>
      <w:r>
        <w:rPr>
          <w:color w:val="666666"/>
          <w:sz w:val="20"/>
          <w:szCs w:val="20"/>
        </w:rPr>
        <w:t xml:space="preserve">Prepared by: Nirmay Soni, Cyber Security GRC Analyst (Internal Auditor)</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02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02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Per audit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Next audit</w:t>
            </w:r>
          </w:p>
        </w:tc>
      </w:tr>
    </w:tbl>
    <w:p>
      <w:pPr>
        <w:pStyle w:val="Heading1"/>
      </w:pPr>
      <w:r>
        <w:t xml:space="preserve">1. Purpose</w:t>
      </w:r>
    </w:p>
    <w:p>
      <w:pPr>
        <w:spacing w:after="160" w:line="276"/>
        <w:jc w:val="both"/>
      </w:pPr>
      <w:r>
        <w:rPr>
          <w:sz w:val="22"/>
          <w:szCs w:val="22"/>
        </w:rPr>
        <w:t xml:space="preserve">This document defines the objectives of the internal audit of the Information Security Management System (ISMS) operated by Stark Industries Inc. The objectives establish what the internal audit is intended to achieve and provide the basis for planning, conducting, and reporting the audit in accordance with ISO/IEC 27001:2022 (Clause 9.2, Internal audit) and the principles of ISO 19011 (Guidelines for auditing management systems).</w:t>
      </w:r>
    </w:p>
    <w:p>
      <w:pPr>
        <w:pStyle w:val="Heading1"/>
      </w:pPr>
      <w:r>
        <w:t xml:space="preserve">2. Background</w:t>
      </w:r>
    </w:p>
    <w:p>
      <w:pPr>
        <w:spacing w:after="160" w:line="276"/>
        <w:jc w:val="both"/>
      </w:pPr>
      <w:r>
        <w:rPr>
          <w:sz w:val="22"/>
          <w:szCs w:val="22"/>
        </w:rPr>
        <w:t xml:space="preserve">Stark Industries Inc. has implemented an ISMS scoped to the development, deployment, and management of its cloud-based SaaS marketing platform, hosted on Amazon Web Services. The organisation intends to achieve ISO/IEC 27001:2022 certification, driven by prospective clients requiring certification as a condition of procurement. This internal audit is performed to verify that the ISMS is conforming and effective, and to determine readiness before engaging an external certification body.</w:t>
      </w:r>
    </w:p>
    <w:p>
      <w:pPr>
        <w:pStyle w:val="Heading1"/>
      </w:pPr>
      <w:r>
        <w:t xml:space="preserve">3. Audit Objectives</w:t>
      </w:r>
    </w:p>
    <w:p>
      <w:pPr>
        <w:spacing w:after="120" w:line="276"/>
        <w:jc w:val="both"/>
      </w:pPr>
      <w:r>
        <w:rPr>
          <w:sz w:val="22"/>
          <w:szCs w:val="22"/>
        </w:rPr>
        <w:t xml:space="preserve">The internal audit is conducted to achieve the following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0"/>
        <w:gridCol w:w="3200"/>
      </w:tblGrid>
      <w:tr>
        <w:trPr>
          <w:tblHeader/>
        </w:trPr>
        <w:tc>
          <w:tcPr>
            <w:tcW w:type="dxa" w:w="5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w:t>
            </w:r>
          </w:p>
        </w:tc>
        <w:tc>
          <w:tcPr>
            <w:tcW w:type="dxa" w:w="56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Audit Objective</w:t>
            </w:r>
          </w:p>
        </w:tc>
        <w:tc>
          <w:tcPr>
            <w:tcW w:type="dxa" w:w="3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Primary Criteria / Reference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Determine the extent to which the ISMS conforms to the requirements of ISO/IEC 27001:2022 (Clauses 4-10).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ISO/IEC 27001:2022, Clauses 4-10</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2</w:t>
            </w:r>
          </w:p>
        </w:tc>
        <w:tc>
          <w:tcPr>
            <w:tcW w:type="dxa" w:w="5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Determine the extent to which the ISMS conforms to Stark Industries' own documented information - its policies, procedures, and processes.</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Internal policies &amp; procedures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3</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Evaluate whether the ISMS has been effectively implemented, operated, and maintained within the defined scope.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ISMS scope &amp; operational records</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4</w:t>
            </w:r>
          </w:p>
        </w:tc>
        <w:tc>
          <w:tcPr>
            <w:tcW w:type="dxa" w:w="5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Assess the design and operating effectiveness of the Annex A controls declared applicable in the Statement of Applicability (SoA).</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Annex A controls via the SoA</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5</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Confirm that information security risks within scope are identified, assessed, and treated in line with the risk management process.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Risk Register &amp; Risk Treatment Plan</w:t>
            </w:r>
          </w:p>
        </w:tc>
      </w:tr>
      <w:tr>
        <w:tc>
          <w:tcPr>
            <w:tcW w:type="dxa" w:w="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6</w:t>
            </w:r>
          </w:p>
        </w:tc>
        <w:tc>
          <w:tcPr>
            <w:tcW w:type="dxa" w:w="5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Identify nonconformities, observations, and opportunities for improvement to strengthen the ISMS.</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Audit evidence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7</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Assess the organisation's readiness to proceed to an external (third-party) certification audit.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Overall ISMS maturity</w:t>
            </w:r>
          </w:p>
        </w:tc>
      </w:tr>
    </w:tbl>
    <w:p>
      <w:pPr>
        <w:pStyle w:val="Heading1"/>
      </w:pPr>
      <w:r>
        <w:t xml:space="preserve">4. Expected Outcomes</w:t>
      </w:r>
    </w:p>
    <w:p>
      <w:pPr>
        <w:pStyle w:val="ListParagraph"/>
        <w:numPr>
          <w:ilvl w:val="0"/>
          <w:numId w:val="2"/>
        </w:numPr>
        <w:spacing w:after="80" w:line="276"/>
      </w:pPr>
      <w:r>
        <w:rPr>
          <w:sz w:val="22"/>
          <w:szCs w:val="22"/>
        </w:rPr>
        <w:t xml:space="preserve">A documented, evidence-based assessment of ISMS conformity against ISO/IEC 27001:2022 and the organisation's own requirements.</w:t>
      </w:r>
    </w:p>
    <w:p>
      <w:pPr>
        <w:pStyle w:val="ListParagraph"/>
        <w:numPr>
          <w:ilvl w:val="0"/>
          <w:numId w:val="2"/>
        </w:numPr>
        <w:spacing w:after="80" w:line="276"/>
      </w:pPr>
      <w:r>
        <w:rPr>
          <w:sz w:val="22"/>
          <w:szCs w:val="22"/>
        </w:rPr>
        <w:t xml:space="preserve">A clear list of nonconformities (major and minor), observations, and opportunities for improvement, each supported by audit evidence.</w:t>
      </w:r>
    </w:p>
    <w:p>
      <w:pPr>
        <w:pStyle w:val="ListParagraph"/>
        <w:numPr>
          <w:ilvl w:val="0"/>
          <w:numId w:val="2"/>
        </w:numPr>
        <w:spacing w:after="80" w:line="276"/>
      </w:pPr>
      <w:r>
        <w:rPr>
          <w:sz w:val="22"/>
          <w:szCs w:val="22"/>
        </w:rPr>
        <w:t xml:space="preserve">An informed view of the organisation's readiness to proceed to a Stage 1 / Stage 2 certification audit.</w:t>
      </w:r>
    </w:p>
    <w:p>
      <w:pPr>
        <w:pStyle w:val="ListParagraph"/>
        <w:numPr>
          <w:ilvl w:val="0"/>
          <w:numId w:val="2"/>
        </w:numPr>
        <w:spacing w:after="80" w:line="276"/>
      </w:pPr>
      <w:r>
        <w:rPr>
          <w:sz w:val="22"/>
          <w:szCs w:val="22"/>
        </w:rPr>
        <w:t xml:space="preserve">Inputs to management review and to the corrective-action process for continual improvement of the ISMS.</w:t>
      </w:r>
    </w:p>
    <w:p>
      <w:pPr>
        <w:pStyle w:val="Heading1"/>
      </w:pPr>
      <w:r>
        <w:t xml:space="preserve">5. Relationship to Audit Scope and Criteria</w:t>
      </w:r>
    </w:p>
    <w:p>
      <w:pPr>
        <w:spacing w:after="160" w:line="276"/>
        <w:jc w:val="both"/>
      </w:pPr>
      <w:r>
        <w:rPr>
          <w:sz w:val="22"/>
          <w:szCs w:val="22"/>
        </w:rPr>
        <w:t xml:space="preserve">These objectives are pursued within the boundaries defined in the ISMS Scope document and are assessed against the audit criteria - ISO/IEC 27001:2022 (Clauses 4-10 and Annex A controls via the Statement of Applicability), applicable legal and regulatory requirements, and Stark Industries' internal policies and procedures. Detailed criteria are maintained in the 04_Audit_Criteria documents.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Internal Audit Objectives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Objectives</dc:title>
  <dc:creator>Nirmay Soni</dc:creator>
  <cp:lastModifiedBy>Un-named</cp:lastModifiedBy>
  <cp:revision>1</cp:revision>
  <dcterms:created xsi:type="dcterms:W3CDTF">2026-05-31T06:05:23.915Z</dcterms:created>
  <dcterms:modified xsi:type="dcterms:W3CDTF">2026-05-31T06:05:23.915Z</dcterms:modified>
</cp:coreProperties>
</file>

<file path=docProps/custom.xml><?xml version="1.0" encoding="utf-8"?>
<Properties xmlns="http://schemas.openxmlformats.org/officeDocument/2006/custom-properties" xmlns:vt="http://schemas.openxmlformats.org/officeDocument/2006/docPropsVTypes"/>
</file>