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6FC2"/>
          <w:sz w:val="28"/>
          <w:szCs w:val="28"/>
        </w:rPr>
        <w:t xml:space="preserve">STARK INDUSTRIES INC.</w:t>
      </w:r>
    </w:p>
    <w:p>
      <w:pPr>
        <w:spacing w:after="0" w:before="200"/>
        <w:jc w:val="center"/>
      </w:pPr>
      <w:r>
        <w:rPr>
          <w:b/>
          <w:bCs/>
          <w:color w:val="1A2330"/>
          <w:sz w:val="52"/>
          <w:szCs w:val="52"/>
        </w:rPr>
        <w:t xml:space="preserve">Audit Criteria</w:t>
      </w:r>
    </w:p>
    <w:p>
      <w:pPr>
        <w:spacing w:after="0" w:before="0"/>
        <w:jc w:val="center"/>
      </w:pPr>
      <w:r>
        <w:rPr>
          <w:b/>
          <w:bCs/>
          <w:color w:val="1A2330"/>
          <w:sz w:val="52"/>
          <w:szCs w:val="52"/>
        </w:rPr>
        <w:t xml:space="preserve">ISO/IEC 27001:2022</w:t>
      </w:r>
    </w:p>
    <w:p>
      <w:pPr>
        <w:spacing w:after="0" w:before="360"/>
        <w:jc w:val="center"/>
      </w:pPr>
      <w:r>
        <w:rPr>
          <w:i/>
          <w:iCs/>
          <w:color w:val="666666"/>
          <w:sz w:val="24"/>
          <w:szCs w:val="24"/>
        </w:rPr>
        <w:t xml:space="preserve">Reference standard, controls, and supporting criteria</w:t>
      </w:r>
    </w:p>
    <w:p>
      <w:pPr>
        <w:spacing w:after="0" w:before="2400"/>
        <w:jc w:val="center"/>
      </w:pPr>
      <w:r>
        <w:rPr>
          <w:color w:val="666666"/>
          <w:sz w:val="20"/>
          <w:szCs w:val="20"/>
        </w:rPr>
        <w:t xml:space="preserve">Prepared by: Nirmay Soni, Cyber Security GRC Analyst (Internal Auditor)</w:t>
      </w:r>
    </w:p>
    <w:p>
      <w:pPr>
        <w:spacing w:after="0" w:before="100"/>
        <w:jc w:val="center"/>
      </w:pPr>
      <w:r>
        <w:rPr>
          <w:color w:val="666666"/>
          <w:sz w:val="20"/>
          <w:szCs w:val="20"/>
        </w:rPr>
        <w:t xml:space="preserve">Approved by: Happy Hogan, Information Security Manager</w:t>
      </w:r>
    </w:p>
    <w:p>
      <w:pPr>
        <w:pageBreakBefore/>
      </w:pPr>
      <w:r>
        <w:br/>
        <w:t xml:space="preserv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960"/>
        <w:gridCol w:w="1060"/>
        <w:gridCol w:w="1400"/>
        <w:gridCol w:w="1180"/>
        <w:gridCol w:w="1180"/>
        <w:gridCol w:w="1360"/>
        <w:gridCol w:w="1200"/>
      </w:tblGrid>
      <w:tr>
        <w:trPr>
          <w:tblHeader/>
        </w:trPr>
        <w:tc>
          <w:tcPr>
            <w:tcW w:type="dxa" w:w="102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Date</w:t>
            </w:r>
          </w:p>
        </w:tc>
        <w:tc>
          <w:tcPr>
            <w:tcW w:type="dxa" w:w="9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Version</w:t>
            </w:r>
          </w:p>
        </w:tc>
        <w:tc>
          <w:tcPr>
            <w:tcW w:type="dxa" w:w="10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Author</w:t>
            </w:r>
          </w:p>
        </w:tc>
        <w:tc>
          <w:tcPr>
            <w:tcW w:type="dxa" w:w="14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Description</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Approved By</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Last Updated</w:t>
            </w:r>
          </w:p>
        </w:tc>
        <w:tc>
          <w:tcPr>
            <w:tcW w:type="dxa" w:w="13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Review Frequency</w:t>
            </w:r>
          </w:p>
        </w:tc>
        <w:tc>
          <w:tcPr>
            <w:tcW w:type="dxa" w:w="12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Next Review</w:t>
            </w:r>
          </w:p>
        </w:tc>
      </w:tr>
      <w:tr>
        <w:tc>
          <w:tcPr>
            <w:tcW w:type="dxa" w:w="1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02 Mar 2026</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1.0</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Nirmay Soni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Initial issue</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Happy Hogan</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02 Mar 2026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Per audit cycle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Next audit</w:t>
            </w:r>
          </w:p>
        </w:tc>
      </w:tr>
    </w:tbl>
    <w:p>
      <w:pPr>
        <w:pStyle w:val="Heading1"/>
      </w:pPr>
      <w:r>
        <w:t xml:space="preserve">1. Purpose</w:t>
      </w:r>
    </w:p>
    <w:p>
      <w:pPr>
        <w:spacing w:after="160" w:line="276"/>
        <w:jc w:val="both"/>
      </w:pPr>
      <w:r>
        <w:rPr>
          <w:sz w:val="22"/>
          <w:szCs w:val="22"/>
        </w:rPr>
        <w:t xml:space="preserve">This document defines the audit criteria against which the internal audit of Stark Industries Inc.'s Information Security Management System (ISMS) is conducted. Audit criteria are the set of requirements used as a reference against which audit evidence is compared. They establish a consistent and objective basis for determining conformity, identifying nonconformities, and assessing the effectiveness of the ISMS.</w:t>
      </w:r>
    </w:p>
    <w:p>
      <w:pPr>
        <w:pStyle w:val="Heading1"/>
      </w:pPr>
      <w:r>
        <w:t xml:space="preserve">2. Primary Criteria - ISO/IEC 27001:2022 Management Clauses</w:t>
      </w:r>
    </w:p>
    <w:p>
      <w:pPr>
        <w:spacing w:after="120" w:line="276"/>
        <w:jc w:val="both"/>
      </w:pPr>
      <w:r>
        <w:rPr>
          <w:sz w:val="22"/>
          <w:szCs w:val="22"/>
        </w:rPr>
        <w:t xml:space="preserve">The primary audit criterion is the ISO/IEC 27001:2022 standard. The mandatory management system requirements are specified in Clauses 4 to 10, each of which is auditable. The table below lists the requirements that form the basis of the clause-by-clause audit checklists.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Reference</w:t>
            </w:r>
          </w:p>
        </w:tc>
        <w:tc>
          <w:tcPr>
            <w:tcW w:type="dxa" w:w="78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Requirement</w:t>
            </w:r>
          </w:p>
        </w:tc>
      </w:tr>
      <w:tr>
        <w:tc>
          <w:tcPr>
            <w:tcW w:type="dxa" w:w="1500"/>
            <w:gridSpan w:val="1"/>
            <w:shd w:fill="1A2330" w:val="clear"/>
            <w:tcMar>
              <w:top w:type="dxa" w:w="60"/>
              <w:left w:type="dxa" w:w="120"/>
              <w:bottom w:type="dxa" w:w="60"/>
              <w:right w:type="dxa" w:w="120"/>
            </w:tcMar>
          </w:tcPr>
          <w:p>
            <w:r>
              <w:rPr>
                <w:b/>
                <w:bCs/>
                <w:color w:val="FFFFFF"/>
                <w:sz w:val="18"/>
                <w:szCs w:val="18"/>
              </w:rPr>
              <w:t xml:space="preserve">Clause 4</w:t>
            </w:r>
          </w:p>
        </w:tc>
        <w:tc>
          <w:tcPr>
            <w:tcW w:type="dxa" w:w="7860"/>
            <w:shd w:fill="1A2330" w:val="clear"/>
            <w:tcMar>
              <w:top w:type="dxa" w:w="60"/>
              <w:left w:type="dxa" w:w="120"/>
              <w:bottom w:type="dxa" w:w="60"/>
              <w:right w:type="dxa" w:w="120"/>
            </w:tcMar>
          </w:tcPr>
          <w:p>
            <w:r>
              <w:rPr>
                <w:b/>
                <w:bCs/>
                <w:color w:val="FFFFFF"/>
                <w:sz w:val="18"/>
                <w:szCs w:val="18"/>
              </w:rPr>
              <w:t xml:space="preserve">Context of the Organisation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4.1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Understanding the organisation and its context</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4.2</w:t>
            </w:r>
          </w:p>
        </w:tc>
        <w:tc>
          <w:tcPr>
            <w:tcW w:type="dxa" w:w="7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Understanding the needs and expectations of interested parties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4.3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Determining the scope of the ISMS</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4.4</w:t>
            </w:r>
          </w:p>
        </w:tc>
        <w:tc>
          <w:tcPr>
            <w:tcW w:type="dxa" w:w="7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Information security management system</w:t>
            </w:r>
          </w:p>
        </w:tc>
      </w:tr>
      <w:tr>
        <w:tc>
          <w:tcPr>
            <w:tcW w:type="dxa" w:w="1500"/>
            <w:gridSpan w:val="1"/>
            <w:shd w:fill="1A2330" w:val="clear"/>
            <w:tcMar>
              <w:top w:type="dxa" w:w="60"/>
              <w:left w:type="dxa" w:w="120"/>
              <w:bottom w:type="dxa" w:w="60"/>
              <w:right w:type="dxa" w:w="120"/>
            </w:tcMar>
          </w:tcPr>
          <w:p>
            <w:r>
              <w:rPr>
                <w:b/>
                <w:bCs/>
                <w:color w:val="FFFFFF"/>
                <w:sz w:val="18"/>
                <w:szCs w:val="18"/>
              </w:rPr>
              <w:t xml:space="preserve">Clause 5</w:t>
            </w:r>
          </w:p>
        </w:tc>
        <w:tc>
          <w:tcPr>
            <w:tcW w:type="dxa" w:w="7860"/>
            <w:shd w:fill="1A2330" w:val="clear"/>
            <w:tcMar>
              <w:top w:type="dxa" w:w="60"/>
              <w:left w:type="dxa" w:w="120"/>
              <w:bottom w:type="dxa" w:w="60"/>
              <w:right w:type="dxa" w:w="120"/>
            </w:tcMar>
          </w:tcPr>
          <w:p>
            <w:r>
              <w:rPr>
                <w:b/>
                <w:bCs/>
                <w:color w:val="FFFFFF"/>
                <w:sz w:val="18"/>
                <w:szCs w:val="18"/>
              </w:rPr>
              <w:t xml:space="preserve">Leadership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5.1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Leadership and commitment</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5.2</w:t>
            </w:r>
          </w:p>
        </w:tc>
        <w:tc>
          <w:tcPr>
            <w:tcW w:type="dxa" w:w="7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Policy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5.3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Organisational roles, responsibilities and authorities</w:t>
            </w:r>
          </w:p>
        </w:tc>
      </w:tr>
      <w:tr>
        <w:tc>
          <w:tcPr>
            <w:tcW w:type="dxa" w:w="1500"/>
            <w:gridSpan w:val="1"/>
            <w:shd w:fill="1A2330" w:val="clear"/>
            <w:tcMar>
              <w:top w:type="dxa" w:w="60"/>
              <w:left w:type="dxa" w:w="120"/>
              <w:bottom w:type="dxa" w:w="60"/>
              <w:right w:type="dxa" w:w="120"/>
            </w:tcMar>
          </w:tcPr>
          <w:p>
            <w:r>
              <w:rPr>
                <w:b/>
                <w:bCs/>
                <w:color w:val="FFFFFF"/>
                <w:sz w:val="18"/>
                <w:szCs w:val="18"/>
              </w:rPr>
              <w:t xml:space="preserve">Clause 6</w:t>
            </w:r>
          </w:p>
        </w:tc>
        <w:tc>
          <w:tcPr>
            <w:tcW w:type="dxa" w:w="7860"/>
            <w:shd w:fill="1A2330" w:val="clear"/>
            <w:tcMar>
              <w:top w:type="dxa" w:w="60"/>
              <w:left w:type="dxa" w:w="120"/>
              <w:bottom w:type="dxa" w:w="60"/>
              <w:right w:type="dxa" w:w="120"/>
            </w:tcMar>
          </w:tcPr>
          <w:p>
            <w:r>
              <w:rPr>
                <w:b/>
                <w:bCs/>
                <w:color w:val="FFFFFF"/>
                <w:sz w:val="18"/>
                <w:szCs w:val="18"/>
              </w:rPr>
              <w:t xml:space="preserve">Planning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6.1.1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General - actions to address risks and opportunities</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6.1.2</w:t>
            </w:r>
          </w:p>
        </w:tc>
        <w:tc>
          <w:tcPr>
            <w:tcW w:type="dxa" w:w="7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Information security risk assessment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6.1.3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Information security risk treatment</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6.2</w:t>
            </w:r>
          </w:p>
        </w:tc>
        <w:tc>
          <w:tcPr>
            <w:tcW w:type="dxa" w:w="7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Information security objectives and planning to achieve them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6.3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Planning of changes</w:t>
            </w:r>
          </w:p>
        </w:tc>
      </w:tr>
      <w:tr>
        <w:tc>
          <w:tcPr>
            <w:tcW w:type="dxa" w:w="1500"/>
            <w:gridSpan w:val="1"/>
            <w:shd w:fill="1A2330" w:val="clear"/>
            <w:tcMar>
              <w:top w:type="dxa" w:w="60"/>
              <w:left w:type="dxa" w:w="120"/>
              <w:bottom w:type="dxa" w:w="60"/>
              <w:right w:type="dxa" w:w="120"/>
            </w:tcMar>
          </w:tcPr>
          <w:p>
            <w:r>
              <w:rPr>
                <w:b/>
                <w:bCs/>
                <w:color w:val="FFFFFF"/>
                <w:sz w:val="18"/>
                <w:szCs w:val="18"/>
              </w:rPr>
              <w:t xml:space="preserve">Clause 7</w:t>
            </w:r>
          </w:p>
        </w:tc>
        <w:tc>
          <w:tcPr>
            <w:tcW w:type="dxa" w:w="7860"/>
            <w:shd w:fill="1A2330" w:val="clear"/>
            <w:tcMar>
              <w:top w:type="dxa" w:w="60"/>
              <w:left w:type="dxa" w:w="120"/>
              <w:bottom w:type="dxa" w:w="60"/>
              <w:right w:type="dxa" w:w="120"/>
            </w:tcMar>
          </w:tcPr>
          <w:p>
            <w:r>
              <w:rPr>
                <w:b/>
                <w:bCs/>
                <w:color w:val="FFFFFF"/>
                <w:sz w:val="18"/>
                <w:szCs w:val="18"/>
              </w:rPr>
              <w:t xml:space="preserve">Support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7.1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Resources</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7.2</w:t>
            </w:r>
          </w:p>
        </w:tc>
        <w:tc>
          <w:tcPr>
            <w:tcW w:type="dxa" w:w="7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Competence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7.3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Awareness</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7.4</w:t>
            </w:r>
          </w:p>
        </w:tc>
        <w:tc>
          <w:tcPr>
            <w:tcW w:type="dxa" w:w="7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Communication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7.5.1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Documented information - general</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7.5.2</w:t>
            </w:r>
          </w:p>
        </w:tc>
        <w:tc>
          <w:tcPr>
            <w:tcW w:type="dxa" w:w="7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Creating and updating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7.5.3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Control of documented information</w:t>
            </w:r>
          </w:p>
        </w:tc>
      </w:tr>
      <w:tr>
        <w:tc>
          <w:tcPr>
            <w:tcW w:type="dxa" w:w="1500"/>
            <w:gridSpan w:val="1"/>
            <w:shd w:fill="1A2330" w:val="clear"/>
            <w:tcMar>
              <w:top w:type="dxa" w:w="60"/>
              <w:left w:type="dxa" w:w="120"/>
              <w:bottom w:type="dxa" w:w="60"/>
              <w:right w:type="dxa" w:w="120"/>
            </w:tcMar>
          </w:tcPr>
          <w:p>
            <w:r>
              <w:rPr>
                <w:b/>
                <w:bCs/>
                <w:color w:val="FFFFFF"/>
                <w:sz w:val="18"/>
                <w:szCs w:val="18"/>
              </w:rPr>
              <w:t xml:space="preserve">Clause 8</w:t>
            </w:r>
          </w:p>
        </w:tc>
        <w:tc>
          <w:tcPr>
            <w:tcW w:type="dxa" w:w="7860"/>
            <w:shd w:fill="1A2330" w:val="clear"/>
            <w:tcMar>
              <w:top w:type="dxa" w:w="60"/>
              <w:left w:type="dxa" w:w="120"/>
              <w:bottom w:type="dxa" w:w="60"/>
              <w:right w:type="dxa" w:w="120"/>
            </w:tcMar>
          </w:tcPr>
          <w:p>
            <w:r>
              <w:rPr>
                <w:b/>
                <w:bCs/>
                <w:color w:val="FFFFFF"/>
                <w:sz w:val="18"/>
                <w:szCs w:val="18"/>
              </w:rPr>
              <w:t xml:space="preserve">Operation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8.1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Operational planning and control</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8.2</w:t>
            </w:r>
          </w:p>
        </w:tc>
        <w:tc>
          <w:tcPr>
            <w:tcW w:type="dxa" w:w="7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Information security risk assessment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8.3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Information security risk treatment</w:t>
            </w:r>
          </w:p>
        </w:tc>
      </w:tr>
      <w:tr>
        <w:tc>
          <w:tcPr>
            <w:tcW w:type="dxa" w:w="1500"/>
            <w:gridSpan w:val="1"/>
            <w:shd w:fill="1A2330" w:val="clear"/>
            <w:tcMar>
              <w:top w:type="dxa" w:w="60"/>
              <w:left w:type="dxa" w:w="120"/>
              <w:bottom w:type="dxa" w:w="60"/>
              <w:right w:type="dxa" w:w="120"/>
            </w:tcMar>
          </w:tcPr>
          <w:p>
            <w:r>
              <w:rPr>
                <w:b/>
                <w:bCs/>
                <w:color w:val="FFFFFF"/>
                <w:sz w:val="18"/>
                <w:szCs w:val="18"/>
              </w:rPr>
              <w:t xml:space="preserve">Clause 9</w:t>
            </w:r>
          </w:p>
        </w:tc>
        <w:tc>
          <w:tcPr>
            <w:tcW w:type="dxa" w:w="7860"/>
            <w:shd w:fill="1A2330" w:val="clear"/>
            <w:tcMar>
              <w:top w:type="dxa" w:w="60"/>
              <w:left w:type="dxa" w:w="120"/>
              <w:bottom w:type="dxa" w:w="60"/>
              <w:right w:type="dxa" w:w="120"/>
            </w:tcMar>
          </w:tcPr>
          <w:p>
            <w:r>
              <w:rPr>
                <w:b/>
                <w:bCs/>
                <w:color w:val="FFFFFF"/>
                <w:sz w:val="18"/>
                <w:szCs w:val="18"/>
              </w:rPr>
              <w:t xml:space="preserve">Performance Evaluation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9.1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Monitoring, measurement, analysis and evaluation</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9.2.1</w:t>
            </w:r>
          </w:p>
        </w:tc>
        <w:tc>
          <w:tcPr>
            <w:tcW w:type="dxa" w:w="7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Internal audit - general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9.2.2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Internal audit programme</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9.3.1</w:t>
            </w:r>
          </w:p>
        </w:tc>
        <w:tc>
          <w:tcPr>
            <w:tcW w:type="dxa" w:w="7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Management review - general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9.3.2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Management review inputs</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9.3.3</w:t>
            </w:r>
          </w:p>
        </w:tc>
        <w:tc>
          <w:tcPr>
            <w:tcW w:type="dxa" w:w="7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Management review results</w:t>
            </w:r>
          </w:p>
        </w:tc>
      </w:tr>
      <w:tr>
        <w:tc>
          <w:tcPr>
            <w:tcW w:type="dxa" w:w="1500"/>
            <w:gridSpan w:val="1"/>
            <w:shd w:fill="1A2330" w:val="clear"/>
            <w:tcMar>
              <w:top w:type="dxa" w:w="60"/>
              <w:left w:type="dxa" w:w="120"/>
              <w:bottom w:type="dxa" w:w="60"/>
              <w:right w:type="dxa" w:w="120"/>
            </w:tcMar>
          </w:tcPr>
          <w:p>
            <w:r>
              <w:rPr>
                <w:b/>
                <w:bCs/>
                <w:color w:val="FFFFFF"/>
                <w:sz w:val="18"/>
                <w:szCs w:val="18"/>
              </w:rPr>
              <w:t xml:space="preserve">Clause 10</w:t>
            </w:r>
          </w:p>
        </w:tc>
        <w:tc>
          <w:tcPr>
            <w:tcW w:type="dxa" w:w="7860"/>
            <w:shd w:fill="1A2330" w:val="clear"/>
            <w:tcMar>
              <w:top w:type="dxa" w:w="60"/>
              <w:left w:type="dxa" w:w="120"/>
              <w:bottom w:type="dxa" w:w="60"/>
              <w:right w:type="dxa" w:w="120"/>
            </w:tcMar>
          </w:tcPr>
          <w:p>
            <w:r>
              <w:rPr>
                <w:b/>
                <w:bCs/>
                <w:color w:val="FFFFFF"/>
                <w:sz w:val="18"/>
                <w:szCs w:val="18"/>
              </w:rPr>
              <w:t xml:space="preserve">Improvement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10.1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Continual improvement</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10.2</w:t>
            </w:r>
          </w:p>
        </w:tc>
        <w:tc>
          <w:tcPr>
            <w:tcW w:type="dxa" w:w="78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Nonconformity and corrective action</w:t>
            </w:r>
          </w:p>
        </w:tc>
      </w:tr>
    </w:tbl>
    <w:p>
      <w:pPr>
        <w:pStyle w:val="Heading1"/>
      </w:pPr>
      <w:r>
        <w:t xml:space="preserve">3. Annex A Controls</w:t>
      </w:r>
    </w:p>
    <w:p>
      <w:pPr>
        <w:spacing w:after="120" w:line="276"/>
        <w:jc w:val="both"/>
      </w:pPr>
      <w:r>
        <w:rPr>
          <w:sz w:val="22"/>
          <w:szCs w:val="22"/>
        </w:rPr>
        <w:t xml:space="preserve">In addition to the management clauses, ISO/IEC 27001:2022 Annex A defines 93 information security controls grouped into four themes. The applicability of each control to Stark Industries is determined and justified in the Statement of Applicability (SoA); the audit assesses the design and operating effectiveness of those controls declared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Control Theme</w:t>
            </w:r>
          </w:p>
        </w:tc>
        <w:tc>
          <w:tcPr>
            <w:tcW w:type="dxa" w:w="14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 Controls</w:t>
            </w:r>
          </w:p>
        </w:tc>
        <w:tc>
          <w:tcPr>
            <w:tcW w:type="dxa" w:w="53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Coverage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A.5 Organisational Controls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37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Policies, roles, segregation of duties, supplier and cloud relationships, threat intelligence, incident management, legal &amp; compliance, business continuity.</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A.6 People Controls</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8</w:t>
            </w:r>
          </w:p>
        </w:tc>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Screening, terms of employment, awareness and training, disciplinary process, remote working, confidentiality.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A.7 Physical Controls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Physical perimeters, secure areas, equipment security, clear desk/screen, secure disposal. (Largely AWS responsibility under the shared model.)</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A.8 Technological Controls</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34</w:t>
            </w:r>
          </w:p>
        </w:tc>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Access control, cryptography, secure development, logging &amp; monitoring, malware protection, backups, network security, vulnerability management.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18"/>
                <w:szCs w:val="18"/>
              </w:rPr>
              <w:t xml:space="preserve">Total</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bCs/>
                <w:sz w:val="18"/>
                <w:szCs w:val="18"/>
              </w:rPr>
              <w:t xml:space="preserve">93</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r>
              <w:rPr>
                <w:b w:val="false"/>
                <w:bCs w:val="false"/>
                <w:sz w:val="18"/>
                <w:szCs w:val="18"/>
              </w:rPr>
              <w:t xml:space="preserve">Applicability determined in the Statement of Applicability (SoA).</w:t>
            </w:r>
          </w:p>
        </w:tc>
      </w:tr>
    </w:tbl>
    <w:p>
      <w:pPr>
        <w:pStyle w:val="Heading1"/>
      </w:pPr>
      <w:r>
        <w:t xml:space="preserve">4. Secondary Criteria</w:t>
      </w:r>
    </w:p>
    <w:p>
      <w:pPr>
        <w:pStyle w:val="Heading2"/>
      </w:pPr>
      <w:r>
        <w:t xml:space="preserve">4.1 Legal, Regulatory and Contractual Requirements</w:t>
      </w:r>
    </w:p>
    <w:p>
      <w:pPr>
        <w:spacing w:after="160" w:line="276"/>
        <w:jc w:val="both"/>
      </w:pPr>
      <w:r>
        <w:rPr>
          <w:sz w:val="22"/>
          <w:szCs w:val="22"/>
        </w:rPr>
        <w:t xml:space="preserve">Applicable legal, statutory, regulatory, and contractual obligations form part of the audit criteria and are maintained in the Legal_Requirements document within this folder. Conformity with these requirements is assessed primarily under Annex A control 5.31.</w:t>
      </w:r>
    </w:p>
    <w:p>
      <w:pPr>
        <w:pStyle w:val="Heading2"/>
      </w:pPr>
      <w:r>
        <w:t xml:space="preserve">4.2 Internal Policies and Procedures</w:t>
      </w:r>
    </w:p>
    <w:p>
      <w:pPr>
        <w:spacing w:after="160" w:line="276"/>
        <w:jc w:val="both"/>
      </w:pPr>
      <w:r>
        <w:rPr>
          <w:sz w:val="22"/>
          <w:szCs w:val="22"/>
        </w:rPr>
        <w:t xml:space="preserve">Stark Industries' own documented information - its information security policies, procedures, and processes - forms a further criterion. The audit verifies that the ISMS operates in accordance with these internal documents. The applicable policies are catalogued in the Internal_Policy_References register within this folder.</w:t>
      </w:r>
    </w:p>
    <w:p>
      <w:pPr>
        <w:pStyle w:val="Heading1"/>
      </w:pPr>
      <w:r>
        <w:t xml:space="preserve">5. Application of the Criteria</w:t>
      </w:r>
    </w:p>
    <w:p>
      <w:pPr>
        <w:pStyle w:val="ListParagraph"/>
        <w:numPr>
          <w:ilvl w:val="0"/>
          <w:numId w:val="2"/>
        </w:numPr>
        <w:spacing w:after="80" w:line="276"/>
      </w:pPr>
      <w:r>
        <w:rPr>
          <w:sz w:val="22"/>
          <w:szCs w:val="22"/>
        </w:rPr>
        <w:t xml:space="preserve">Each clause and applicable control is tested through document review, interview, observation, and sampling.</w:t>
      </w:r>
    </w:p>
    <w:p>
      <w:pPr>
        <w:pStyle w:val="ListParagraph"/>
        <w:numPr>
          <w:ilvl w:val="0"/>
          <w:numId w:val="2"/>
        </w:numPr>
        <w:spacing w:after="80" w:line="276"/>
      </w:pPr>
      <w:r>
        <w:rPr>
          <w:sz w:val="22"/>
          <w:szCs w:val="22"/>
        </w:rPr>
        <w:t xml:space="preserve">Evidence is compared against the relevant criterion to determine conformity or nonconformity.</w:t>
      </w:r>
    </w:p>
    <w:p>
      <w:pPr>
        <w:pStyle w:val="ListParagraph"/>
        <w:numPr>
          <w:ilvl w:val="0"/>
          <w:numId w:val="2"/>
        </w:numPr>
        <w:spacing w:after="80" w:line="276"/>
      </w:pPr>
      <w:r>
        <w:rPr>
          <w:sz w:val="22"/>
          <w:szCs w:val="22"/>
        </w:rPr>
        <w:t xml:space="preserve">Nonconformities are classified as major or minor; other results are recorded as observations or opportunities for improvement.</w:t>
      </w:r>
    </w:p>
    <w:p>
      <w:pPr>
        <w:pStyle w:val="ListParagraph"/>
        <w:numPr>
          <w:ilvl w:val="0"/>
          <w:numId w:val="2"/>
        </w:numPr>
        <w:spacing w:after="80" w:line="276"/>
      </w:pPr>
      <w:r>
        <w:rPr>
          <w:sz w:val="22"/>
          <w:szCs w:val="22"/>
        </w:rPr>
        <w:t xml:space="preserve">All findings are traced back to the specific criterion (clause, control, legal requirement, or internal policy) they relate to, via the Audit Trail Matrix.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C2" w:sz="4" w:space="6"/>
      </w:pBdr>
      <w:tabs>
        <w:tab w:val="right" w:pos="9360"/>
      </w:tabs>
      <w:spacing w:before="0"/>
    </w:pPr>
    <w:r>
      <w:rPr>
        <w:color w:val="666666"/>
        <w:sz w:val="16"/>
        <w:szCs w:val="16"/>
      </w:rPr>
      <w:t xml:space="preserve">Classification: Internal</w:t>
    </w:r>
    <w:r>
      <w:rPr>
        <w:color w:val="666666"/>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C2" w:sz="4" w:space="6"/>
      </w:pBdr>
      <w:tabs>
        <w:tab w:val="right" w:pos="9360"/>
      </w:tabs>
      <w:spacing w:after="0"/>
    </w:pPr>
    <w:r>
      <w:rPr>
        <w:b/>
        <w:bCs/>
        <w:color w:val="1F6FC2"/>
        <w:sz w:val="16"/>
        <w:szCs w:val="16"/>
      </w:rPr>
      <w:t xml:space="preserve">Stark Industries Inc.</w:t>
    </w:r>
    <w:r>
      <w:rPr>
        <w:color w:val="666666"/>
        <w:sz w:val="16"/>
        <w:szCs w:val="16"/>
      </w:rPr>
      <w:t xml:space="preserve">	Audit Criteria - ISO/IEC 27001:2022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C2" w:sz="6" w:space="4"/>
      </w:pBdr>
      <w:spacing w:after="160" w:before="320"/>
      <w:outlineLvl w:val="0"/>
    </w:pPr>
    <w:rPr>
      <w:rFonts w:ascii="Arial" w:cs="Arial" w:eastAsia="Arial" w:hAnsi="Arial"/>
      <w:b/>
      <w:bCs/>
      <w:color w:val="1F6FC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3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Criteria - ISO/IEC 27001:2022</dc:title>
  <dc:creator>Nirmay Soni</dc:creator>
  <cp:lastModifiedBy>Un-named</cp:lastModifiedBy>
  <cp:revision>1</cp:revision>
  <dcterms:created xsi:type="dcterms:W3CDTF">2026-05-31T06:05:24.109Z</dcterms:created>
  <dcterms:modified xsi:type="dcterms:W3CDTF">2026-05-31T06:05:24.110Z</dcterms:modified>
</cp:coreProperties>
</file>

<file path=docProps/custom.xml><?xml version="1.0" encoding="utf-8"?>
<Properties xmlns="http://schemas.openxmlformats.org/officeDocument/2006/custom-properties" xmlns:vt="http://schemas.openxmlformats.org/officeDocument/2006/docPropsVTypes"/>
</file>