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Legal &amp; Regulatory</w:t>
      </w:r>
    </w:p>
    <w:p>
      <w:pPr>
        <w:spacing w:after="0" w:before="0"/>
        <w:jc w:val="center"/>
      </w:pPr>
      <w:r>
        <w:rPr>
          <w:b/>
          <w:bCs/>
          <w:color w:val="1A2330"/>
          <w:sz w:val="52"/>
          <w:szCs w:val="52"/>
        </w:rPr>
        <w:t xml:space="preserve">Requirements</w:t>
      </w:r>
    </w:p>
    <w:p>
      <w:pPr>
        <w:spacing w:after="0" w:before="360"/>
        <w:jc w:val="center"/>
      </w:pPr>
      <w:r>
        <w:rPr>
          <w:i/>
          <w:iCs/>
          <w:color w:val="666666"/>
          <w:sz w:val="24"/>
          <w:szCs w:val="24"/>
        </w:rPr>
        <w:t xml:space="preserve">Applicable legal, statutory, regulatory, and contractual obligations</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Annually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02 Mar 2027</w:t>
            </w:r>
          </w:p>
        </w:tc>
      </w:tr>
    </w:tbl>
    <w:p>
      <w:pPr>
        <w:pStyle w:val="Heading1"/>
      </w:pPr>
      <w:r>
        <w:t xml:space="preserve">1. Purpose</w:t>
      </w:r>
    </w:p>
    <w:p>
      <w:pPr>
        <w:spacing w:after="160" w:line="276"/>
        <w:jc w:val="both"/>
      </w:pPr>
      <w:r>
        <w:rPr>
          <w:sz w:val="22"/>
          <w:szCs w:val="22"/>
        </w:rPr>
        <w:t xml:space="preserve">This document identifies the legal, statutory, regulatory, and contractual requirements relevant to the scope of Stark Industries Inc.'s Information Security Management System (ISMS). These requirements form part of the audit criteria and support conformity assessment under ISO/IEC 27001:2022, in particular Annex A control 5.31 (Legal, statutory, regulatory and contractual requirements) and 5.34 (Privacy and protection of personal identifiable information).</w:t>
      </w:r>
    </w:p>
    <w:p>
      <w:pPr>
        <w:pStyle w:val="Heading1"/>
      </w:pPr>
      <w:r>
        <w:t xml:space="preserve">2. Applicability Context</w:t>
      </w:r>
    </w:p>
    <w:p>
      <w:pPr>
        <w:spacing w:after="160" w:line="276"/>
        <w:jc w:val="both"/>
      </w:pPr>
      <w:r>
        <w:rPr>
          <w:sz w:val="22"/>
          <w:szCs w:val="22"/>
        </w:rPr>
        <w:t xml:space="preserve">Stark Industries operates a cloud-based SaaS marketing-automation platform, hosted on Amazon Web Services, that processes personal and marketing data on behalf of its business clients and their end customers. As a US-based provider handling personal data and operating outbound marketing channels (email and messaging), Stark Industries is subject to federal and state requirements governing data protection, marketing communications, and breach notification, in addition to obligations arising from customer contracts and its cloud provider.</w:t>
      </w:r>
    </w:p>
    <w:p>
      <w:pPr>
        <w:pStyle w:val="Heading1"/>
      </w:pPr>
      <w:r>
        <w:t xml:space="preserve">3. Legal &amp; Regulatory Requirements</w:t>
      </w:r>
    </w:p>
    <w:p>
      <w:pPr>
        <w:spacing w:after="120" w:line="276"/>
        <w:jc w:val="both"/>
      </w:pPr>
      <w:r>
        <w:rPr>
          <w:sz w:val="22"/>
          <w:szCs w:val="22"/>
        </w:rPr>
        <w:t xml:space="preserve">The following legal and regulatory requirements have been identified as applicable, or conditionally applicable, to the ISMS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3360"/>
        <w:gridCol w:w="1400"/>
      </w:tblGrid>
      <w:tr>
        <w:trPr>
          <w:tblHeader/>
        </w:trPr>
        <w:tc>
          <w:tcPr>
            <w:tcW w:type="dxa" w:w="2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Requirement</w:t>
            </w:r>
          </w:p>
        </w:tc>
        <w:tc>
          <w:tcPr>
            <w:tcW w:type="dxa" w:w="21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Source / Authority</w:t>
            </w:r>
          </w:p>
        </w:tc>
        <w:tc>
          <w:tcPr>
            <w:tcW w:type="dxa" w:w="3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Applicability to Stark Industries</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Annex 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CAN-SPAM Act (2003)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US federal (FTC)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Governs commercial email; the SaaS platform sends marketing emails on behalf of clients - opt-out, sender identification, and content rules apply.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A.5.31</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Telephone Consumer Protection Act (TCPA)</w:t>
            </w:r>
          </w:p>
        </w:tc>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US federal (FCC)</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Applies where the platform enables SMS/automated messaging campaigns; consent requirements apply.</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FTC Act, Section 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US federal (FTC)</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Prohibits unfair or deceptive practices, including failure to provide reasonable data security and misrepresenting security/privacy practices.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A.5.31, A.5.34</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California CCPA / CPRA</w:t>
            </w:r>
          </w:p>
        </w:tc>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US state (California)</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Applies to personal information of California residents held in client and end-customer data; rights, disclosures, and security obligations.</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Other US state privacy laws (VCDPA, CPA, CTDPA, UCPA, etc.)</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US states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Comparable privacy obligations triggered by processing residents' personal data across multiple states.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A.5.34</w:t>
            </w:r>
          </w:p>
        </w:tc>
      </w:tr>
      <w:tr>
        <w:tc>
          <w:tcPr>
            <w:tcW w:type="dxa" w:w="2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US state data breach notification laws</w:t>
            </w:r>
          </w:p>
        </w:tc>
        <w:tc>
          <w:tcPr>
            <w:tcW w:type="dxa" w:w="2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US states (all 50)</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Require timely notification to affected individuals and authorities following a personal-data breach.</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A.5.24, A.5.34</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GDPR (conditional)</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EU / UK</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Applies only if client contact lists include EU/UK data subjects; assessed and confirmed per client. Currently treated as conditional.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A.5.34</w:t>
            </w:r>
          </w:p>
        </w:tc>
      </w:tr>
    </w:tbl>
    <w:p>
      <w:pPr>
        <w:pStyle w:val="Heading1"/>
      </w:pPr>
      <w:r>
        <w:t xml:space="preserve">4. Contractual Requirements</w:t>
      </w:r>
    </w:p>
    <w:p>
      <w:pPr>
        <w:spacing w:after="120" w:line="276"/>
        <w:jc w:val="both"/>
      </w:pPr>
      <w:r>
        <w:rPr>
          <w:sz w:val="22"/>
          <w:szCs w:val="22"/>
        </w:rPr>
        <w:t xml:space="preserve">The following contractual obligations are relevant to information security within the ISMS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960"/>
        <w:gridCol w:w="1400"/>
      </w:tblGrid>
      <w:tr>
        <w:trPr>
          <w:tblHeader/>
        </w:trPr>
        <w:tc>
          <w:tcPr>
            <w:tcW w:type="dxa" w:w="3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Contractual Requirement</w:t>
            </w:r>
          </w:p>
        </w:tc>
        <w:tc>
          <w:tcPr>
            <w:tcW w:type="dxa" w:w="4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Annex A</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Customer Master Service Agreements (MSAs)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Service commitments, security obligations, and liability terms agreed with clients.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A.5.31</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Data Processing Agreements (DPAs)</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Stark acts as a processor of client/end-customer personal data; DPAs define processing terms and safeguards.</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A.5.34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Service Level Agreements (SLAs)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Availability and performance commitments for the SaaS platform.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A.5.30</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Confidentiality / Non-Disclosure Agreements</w:t>
            </w:r>
          </w:p>
        </w:tc>
        <w:tc>
          <w:tcPr>
            <w:tcW w:type="dxa" w:w="49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Protection of confidential information exchanged with clients, partners, and personnel.</w:t>
            </w:r>
          </w:p>
        </w:tc>
        <w:tc>
          <w:tcPr>
            <w:tcW w:type="dxa" w:w="1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A.6.6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ISO 27001 certification commitments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Contractual undertakings to clients to achieve and maintain certification.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A.5.31</w:t>
            </w:r>
          </w:p>
        </w:tc>
      </w:tr>
    </w:tbl>
    <w:p>
      <w:pPr>
        <w:pStyle w:val="Heading1"/>
      </w:pPr>
      <w:r>
        <w:t xml:space="preserve">5. Cloud Provider Obligations</w:t>
      </w:r>
    </w:p>
    <w:p>
      <w:pPr>
        <w:spacing w:after="160" w:line="276"/>
        <w:jc w:val="both"/>
      </w:pPr>
      <w:r>
        <w:rPr>
          <w:sz w:val="22"/>
          <w:szCs w:val="22"/>
        </w:rPr>
        <w:t xml:space="preserve">As the platform is hosted on Amazon Web Services, the AWS Customer Agreement, AWS Data Processing Addendum, and the AWS shared-responsibility model define the division of security obligations. Stark Industries remains responsible for security 'in' the cloud (configuration, access, data, and application security), while AWS is responsible for security 'of' the cloud (physical and infrastructure layers). These obligations are assessed under Annex A controls 5.19-5.23 (supplier relationships).</w:t>
      </w:r>
    </w:p>
    <w:p>
      <w:pPr>
        <w:pStyle w:val="Heading1"/>
      </w:pPr>
      <w:r>
        <w:t xml:space="preserve">6. Maintenance and Review</w:t>
      </w:r>
    </w:p>
    <w:p>
      <w:pPr>
        <w:spacing w:after="160" w:line="276"/>
        <w:jc w:val="both"/>
      </w:pPr>
      <w:r>
        <w:rPr>
          <w:sz w:val="22"/>
          <w:szCs w:val="22"/>
        </w:rPr>
        <w:t xml:space="preserve">This register is maintained by the Cyber Security GRC Analyst and reviewed at least annually, or upon material changes to applicable law, the customer base, or the ISMS scope. Identified requirements are tracked to the relevant Annex A controls and verified during the internal 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Legal &amp; Regulatory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&amp; Regulatory Requirements</dc:title>
  <dc:creator>Nirmay Soni</dc:creator>
  <cp:lastModifiedBy>Un-named</cp:lastModifiedBy>
  <cp:revision>1</cp:revision>
  <dcterms:created xsi:type="dcterms:W3CDTF">2026-05-31T06:05:24.359Z</dcterms:created>
  <dcterms:modified xsi:type="dcterms:W3CDTF">2026-05-31T06:05:24.360Z</dcterms:modified>
</cp:coreProperties>
</file>

<file path=docProps/custom.xml><?xml version="1.0" encoding="utf-8"?>
<Properties xmlns="http://schemas.openxmlformats.org/officeDocument/2006/custom-properties" xmlns:vt="http://schemas.openxmlformats.org/officeDocument/2006/docPropsVTypes"/>
</file>