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F6FC2"/>
          <w:sz w:val="28"/>
          <w:szCs w:val="28"/>
        </w:rPr>
        <w:t xml:space="preserve">STARK INDUSTRIES INC.</w:t>
      </w:r>
    </w:p>
    <w:p>
      <w:pPr>
        <w:spacing w:after="0" w:before="200"/>
        <w:jc w:val="center"/>
      </w:pPr>
      <w:r>
        <w:rPr>
          <w:b/>
          <w:bCs/>
          <w:color w:val="1A2330"/>
          <w:sz w:val="52"/>
          <w:szCs w:val="52"/>
        </w:rPr>
        <w:t xml:space="preserve">Acceptable Use Policy</w:t>
      </w:r>
    </w:p>
    <w:p>
      <w:pPr>
        <w:spacing w:after="0" w:before="360"/>
        <w:jc w:val="center"/>
      </w:pPr>
      <w:r>
        <w:rPr>
          <w:i/>
          <w:iCs/>
          <w:color w:val="666666"/>
          <w:sz w:val="24"/>
          <w:szCs w:val="24"/>
        </w:rPr>
        <w:t xml:space="preserve">Stark Industries Inc. - ISMS (A.5.10, A.5.15, A.5.16)</w:t>
      </w:r>
    </w:p>
    <w:p>
      <w:pPr>
        <w:spacing w:after="0" w:before="2400"/>
        <w:jc w:val="center"/>
      </w:pPr>
      <w:r>
        <w:rPr>
          <w:color w:val="666666"/>
          <w:sz w:val="20"/>
          <w:szCs w:val="20"/>
        </w:rPr>
        <w:t xml:space="preserve">Author: Nirmay Soni, Cyber Security GRC Analyst</w:t>
      </w:r>
    </w:p>
    <w:p>
      <w:pPr>
        <w:spacing w:after="0" w:before="100"/>
        <w:jc w:val="center"/>
      </w:pPr>
      <w:r>
        <w:rPr>
          <w:color w:val="666666"/>
          <w:sz w:val="20"/>
          <w:szCs w:val="20"/>
        </w:rPr>
        <w:t xml:space="preserve">Approved by: Happy Hogan, Information Security Manager</w:t>
      </w:r>
    </w:p>
    <w:p>
      <w:r>
        <w:br w:type="page"/>
      </w:r>
    </w:p>
    <w:p>
      <w:pPr>
        <w:pStyle w:val="Heading1"/>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20"/>
        <w:gridCol w:w="960"/>
        <w:gridCol w:w="1060"/>
        <w:gridCol w:w="1400"/>
        <w:gridCol w:w="1180"/>
        <w:gridCol w:w="1180"/>
        <w:gridCol w:w="1360"/>
        <w:gridCol w:w="1200"/>
      </w:tblGrid>
      <w:tr>
        <w:trPr>
          <w:tblHeader/>
        </w:trPr>
        <w:tc>
          <w:tcPr>
            <w:tcW w:type="dxa" w:w="102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Date</w:t>
            </w:r>
          </w:p>
        </w:tc>
        <w:tc>
          <w:tcPr>
            <w:tcW w:type="dxa" w:w="96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Version</w:t>
            </w:r>
          </w:p>
        </w:tc>
        <w:tc>
          <w:tcPr>
            <w:tcW w:type="dxa" w:w="106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Author</w:t>
            </w:r>
          </w:p>
        </w:tc>
        <w:tc>
          <w:tcPr>
            <w:tcW w:type="dxa" w:w="140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Description</w:t>
            </w:r>
          </w:p>
        </w:tc>
        <w:tc>
          <w:tcPr>
            <w:tcW w:type="dxa" w:w="118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Approved By</w:t>
            </w:r>
          </w:p>
        </w:tc>
        <w:tc>
          <w:tcPr>
            <w:tcW w:type="dxa" w:w="118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Last Updated</w:t>
            </w:r>
          </w:p>
        </w:tc>
        <w:tc>
          <w:tcPr>
            <w:tcW w:type="dxa" w:w="136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Review Frequency</w:t>
            </w:r>
          </w:p>
        </w:tc>
        <w:tc>
          <w:tcPr>
            <w:tcW w:type="dxa" w:w="120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Next Review</w:t>
            </w:r>
          </w:p>
        </w:tc>
      </w:tr>
      <w:tr>
        <w:tc>
          <w:tcPr>
            <w:tcW w:type="dxa" w:w="10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15 Jan 2026</w:t>
            </w:r>
          </w:p>
        </w:tc>
        <w:tc>
          <w:tcPr>
            <w:tcW w:type="dxa" w:w="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1.0</w:t>
            </w:r>
          </w:p>
        </w:tc>
        <w:tc>
          <w:tcPr>
            <w:tcW w:type="dxa" w:w="10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Nirmay Soni</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Initial issue</w:t>
            </w:r>
          </w:p>
        </w:tc>
        <w:tc>
          <w:tcPr>
            <w:tcW w:type="dxa" w:w="11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Happy Hogan</w:t>
            </w:r>
          </w:p>
        </w:tc>
        <w:tc>
          <w:tcPr>
            <w:tcW w:type="dxa" w:w="11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15 Jan 2026</w:t>
            </w:r>
          </w:p>
        </w:tc>
        <w:tc>
          <w:tcPr>
            <w:tcW w:type="dxa" w:w="1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Annual</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Jan 2027</w:t>
            </w:r>
          </w:p>
        </w:tc>
      </w:tr>
    </w:tbl>
    <w:p>
      <w:pPr>
        <w:pStyle w:val="Heading1"/>
      </w:pPr>
      <w:r>
        <w:t xml:space="preserve">Purpose</w:t>
      </w:r>
    </w:p>
    <w:p>
      <w:pPr>
        <w:spacing w:after="160" w:line="276"/>
        <w:jc w:val="both"/>
      </w:pPr>
      <w:r>
        <w:rPr>
          <w:b w:val="false"/>
          <w:bCs w:val="false"/>
          <w:i w:val="false"/>
          <w:iCs w:val="false"/>
          <w:color w:val="1A2330"/>
          <w:sz w:val="22"/>
          <w:szCs w:val="22"/>
        </w:rPr>
        <w:t xml:space="preserve">This policy defines acceptable and unacceptable use of Stark Industries Inc.'s information systems, devices, and data to ensure secure and responsible behaviour from all users. This policy is aligned with ISO/IEC 27001:2022 (A.5.10, A.5.15, A.5.16).</w:t>
      </w:r>
    </w:p>
    <w:p>
      <w:pPr>
        <w:pStyle w:val="Heading1"/>
      </w:pPr>
      <w:r>
        <w:t xml:space="preserve">Scope</w:t>
      </w:r>
    </w:p>
    <w:p>
      <w:pPr>
        <w:spacing w:after="160" w:line="276"/>
        <w:jc w:val="both"/>
      </w:pPr>
      <w:r>
        <w:rPr>
          <w:b w:val="false"/>
          <w:bCs w:val="false"/>
          <w:i w:val="false"/>
          <w:iCs w:val="false"/>
          <w:color w:val="1A2330"/>
          <w:sz w:val="22"/>
          <w:szCs w:val="22"/>
        </w:rPr>
        <w:t xml:space="preserve">Applies to all employees, contractors, interns, and third parties who access or use company assets, systems, and data, including laptops, networks, cloud services, email, and SaaS platforms.</w:t>
      </w:r>
    </w:p>
    <w:p>
      <w:pPr>
        <w:pStyle w:val="Heading1"/>
      </w:pPr>
      <w:r>
        <w:t xml:space="preserve">Policy Statement</w:t>
      </w:r>
    </w:p>
    <w:p>
      <w:pPr>
        <w:spacing w:after="160" w:line="276"/>
        <w:jc w:val="both"/>
      </w:pPr>
      <w:r>
        <w:rPr>
          <w:b w:val="false"/>
          <w:bCs w:val="false"/>
          <w:i w:val="false"/>
          <w:iCs w:val="false"/>
          <w:color w:val="1A2330"/>
          <w:sz w:val="22"/>
          <w:szCs w:val="22"/>
        </w:rPr>
        <w:t xml:space="preserve">All users must use Stark Industries' information assets ethically, responsibly, and in a manner that protects confidentiality, integrity, and availability of systems and information.</w:t>
      </w:r>
    </w:p>
    <w:p>
      <w:pPr>
        <w:pStyle w:val="Heading1"/>
      </w:pPr>
      <w:r>
        <w:t xml:space="preserve">Acceptable Use Requirements (A.5.15)</w:t>
      </w:r>
    </w:p>
    <w:p>
      <w:pPr>
        <w:spacing w:after="60" w:line="276"/>
        <w:jc w:val="left"/>
      </w:pPr>
      <w:r>
        <w:rPr>
          <w:b w:val="false"/>
          <w:bCs w:val="false"/>
          <w:i w:val="false"/>
          <w:iCs w:val="false"/>
          <w:color w:val="1A2330"/>
          <w:sz w:val="22"/>
          <w:szCs w:val="22"/>
        </w:rPr>
        <w:t xml:space="preserve">Users </w:t>
      </w:r>
      <w:r>
        <w:rPr>
          <w:b/>
          <w:bCs/>
          <w:i w:val="false"/>
          <w:iCs w:val="false"/>
          <w:color w:val="1A2330"/>
          <w:sz w:val="22"/>
          <w:szCs w:val="22"/>
        </w:rPr>
        <w:t xml:space="preserve">must</w:t>
      </w:r>
      <w:r>
        <w:rPr>
          <w:b w:val="false"/>
          <w:bCs w:val="false"/>
          <w:i w:val="false"/>
          <w:iCs w:val="false"/>
          <w:color w:val="1A2330"/>
          <w:sz w:val="22"/>
          <w:szCs w:val="22"/>
        </w:rPr>
        <w:t xml:space="preserve">:</w:t>
      </w:r>
    </w:p>
    <w:p>
      <w:pPr>
        <w:pStyle w:val="ListParagraph"/>
        <w:numPr>
          <w:ilvl w:val="0"/>
          <w:numId w:val="2"/>
        </w:numPr>
        <w:spacing w:after="60" w:line="276"/>
      </w:pPr>
      <w:r>
        <w:rPr>
          <w:b w:val="false"/>
          <w:bCs w:val="false"/>
          <w:i w:val="false"/>
          <w:iCs w:val="false"/>
          <w:color w:val="1A2330"/>
          <w:sz w:val="22"/>
          <w:szCs w:val="22"/>
        </w:rPr>
        <w:t xml:space="preserve">Use systems and data only for authorised business purposes</w:t>
      </w:r>
    </w:p>
    <w:p>
      <w:pPr>
        <w:pStyle w:val="ListParagraph"/>
        <w:numPr>
          <w:ilvl w:val="0"/>
          <w:numId w:val="2"/>
        </w:numPr>
        <w:spacing w:after="60" w:line="276"/>
      </w:pPr>
      <w:r>
        <w:rPr>
          <w:b w:val="false"/>
          <w:bCs w:val="false"/>
          <w:i w:val="false"/>
          <w:iCs w:val="false"/>
          <w:color w:val="1A2330"/>
          <w:sz w:val="22"/>
          <w:szCs w:val="22"/>
        </w:rPr>
        <w:t xml:space="preserve">Follow password and MFA policies</w:t>
      </w:r>
    </w:p>
    <w:p>
      <w:pPr>
        <w:pStyle w:val="ListParagraph"/>
        <w:numPr>
          <w:ilvl w:val="0"/>
          <w:numId w:val="2"/>
        </w:numPr>
        <w:spacing w:after="60" w:line="276"/>
      </w:pPr>
      <w:r>
        <w:rPr>
          <w:b w:val="false"/>
          <w:bCs w:val="false"/>
          <w:i w:val="false"/>
          <w:iCs w:val="false"/>
          <w:color w:val="1A2330"/>
          <w:sz w:val="22"/>
          <w:szCs w:val="22"/>
        </w:rPr>
        <w:t xml:space="preserve">Lock workstations when unattended</w:t>
      </w:r>
    </w:p>
    <w:p>
      <w:pPr>
        <w:pStyle w:val="ListParagraph"/>
        <w:numPr>
          <w:ilvl w:val="0"/>
          <w:numId w:val="2"/>
        </w:numPr>
        <w:spacing w:after="60" w:line="276"/>
      </w:pPr>
      <w:r>
        <w:rPr>
          <w:b w:val="false"/>
          <w:bCs w:val="false"/>
          <w:i w:val="false"/>
          <w:iCs w:val="false"/>
          <w:color w:val="1A2330"/>
          <w:sz w:val="22"/>
          <w:szCs w:val="22"/>
        </w:rPr>
        <w:t xml:space="preserve">Encrypt sensitive data in transit and at rest</w:t>
      </w:r>
    </w:p>
    <w:p>
      <w:pPr>
        <w:pStyle w:val="ListParagraph"/>
        <w:numPr>
          <w:ilvl w:val="0"/>
          <w:numId w:val="2"/>
        </w:numPr>
        <w:spacing w:after="60" w:line="276"/>
      </w:pPr>
      <w:r>
        <w:rPr>
          <w:b w:val="false"/>
          <w:bCs w:val="false"/>
          <w:i w:val="false"/>
          <w:iCs w:val="false"/>
          <w:color w:val="1A2330"/>
          <w:sz w:val="22"/>
          <w:szCs w:val="22"/>
        </w:rPr>
        <w:t xml:space="preserve">Access only systems and data they are authorised to use</w:t>
      </w:r>
    </w:p>
    <w:p>
      <w:pPr>
        <w:pStyle w:val="ListParagraph"/>
        <w:numPr>
          <w:ilvl w:val="0"/>
          <w:numId w:val="2"/>
        </w:numPr>
        <w:spacing w:after="60" w:line="276"/>
      </w:pPr>
      <w:r>
        <w:rPr>
          <w:b w:val="false"/>
          <w:bCs w:val="false"/>
          <w:i w:val="false"/>
          <w:iCs w:val="false"/>
          <w:color w:val="1A2330"/>
          <w:sz w:val="22"/>
          <w:szCs w:val="22"/>
        </w:rPr>
        <w:t xml:space="preserve">Report security incidents or policy violations immediately</w:t>
      </w:r>
    </w:p>
    <w:p>
      <w:pPr>
        <w:pStyle w:val="ListParagraph"/>
        <w:numPr>
          <w:ilvl w:val="0"/>
          <w:numId w:val="2"/>
        </w:numPr>
        <w:spacing w:after="60" w:line="276"/>
      </w:pPr>
      <w:r>
        <w:rPr>
          <w:b w:val="false"/>
          <w:bCs w:val="false"/>
          <w:i w:val="false"/>
          <w:iCs w:val="false"/>
          <w:color w:val="1A2330"/>
          <w:sz w:val="22"/>
          <w:szCs w:val="22"/>
        </w:rPr>
        <w:t xml:space="preserve">Participate in required security awareness training</w:t>
      </w:r>
    </w:p>
    <w:p>
      <w:pPr>
        <w:pStyle w:val="Heading1"/>
      </w:pPr>
      <w:r>
        <w:t xml:space="preserve">Unacceptable Use Examples</w:t>
      </w:r>
    </w:p>
    <w:p>
      <w:pPr>
        <w:spacing w:after="60" w:line="276"/>
        <w:jc w:val="left"/>
      </w:pPr>
      <w:r>
        <w:rPr>
          <w:b w:val="false"/>
          <w:bCs w:val="false"/>
          <w:i w:val="false"/>
          <w:iCs w:val="false"/>
          <w:color w:val="1A2330"/>
          <w:sz w:val="22"/>
          <w:szCs w:val="22"/>
        </w:rPr>
        <w:t xml:space="preserve">The following activities are </w:t>
      </w:r>
      <w:r>
        <w:rPr>
          <w:b/>
          <w:bCs/>
          <w:i w:val="false"/>
          <w:iCs w:val="false"/>
          <w:color w:val="1A2330"/>
          <w:sz w:val="22"/>
          <w:szCs w:val="22"/>
        </w:rPr>
        <w:t xml:space="preserve">strictly prohibited</w:t>
      </w:r>
      <w:r>
        <w:rPr>
          <w:b w:val="false"/>
          <w:bCs w:val="false"/>
          <w:i w:val="false"/>
          <w:iCs w:val="false"/>
          <w:color w:val="1A2330"/>
          <w:sz w:val="22"/>
          <w:szCs w:val="22"/>
        </w:rPr>
        <w:t xml:space="preserve">:</w:t>
      </w:r>
    </w:p>
    <w:p>
      <w:pPr>
        <w:pStyle w:val="ListParagraph"/>
        <w:numPr>
          <w:ilvl w:val="0"/>
          <w:numId w:val="2"/>
        </w:numPr>
        <w:spacing w:after="60" w:line="276"/>
      </w:pPr>
      <w:r>
        <w:rPr>
          <w:b w:val="false"/>
          <w:bCs w:val="false"/>
          <w:i w:val="false"/>
          <w:iCs w:val="false"/>
          <w:color w:val="1A2330"/>
          <w:sz w:val="22"/>
          <w:szCs w:val="22"/>
        </w:rPr>
        <w:t xml:space="preserve">Sharing login credentials or using another person's account</w:t>
      </w:r>
    </w:p>
    <w:p>
      <w:pPr>
        <w:pStyle w:val="ListParagraph"/>
        <w:numPr>
          <w:ilvl w:val="0"/>
          <w:numId w:val="2"/>
        </w:numPr>
        <w:spacing w:after="60" w:line="276"/>
      </w:pPr>
      <w:r>
        <w:rPr>
          <w:b w:val="false"/>
          <w:bCs w:val="false"/>
          <w:i w:val="false"/>
          <w:iCs w:val="false"/>
          <w:color w:val="1A2330"/>
          <w:sz w:val="22"/>
          <w:szCs w:val="22"/>
        </w:rPr>
        <w:t xml:space="preserve">Installing unauthorised software or apps</w:t>
      </w:r>
    </w:p>
    <w:p>
      <w:pPr>
        <w:pStyle w:val="ListParagraph"/>
        <w:numPr>
          <w:ilvl w:val="0"/>
          <w:numId w:val="2"/>
        </w:numPr>
        <w:spacing w:after="60" w:line="276"/>
      </w:pPr>
      <w:r>
        <w:rPr>
          <w:b w:val="false"/>
          <w:bCs w:val="false"/>
          <w:i w:val="false"/>
          <w:iCs w:val="false"/>
          <w:color w:val="1A2330"/>
          <w:sz w:val="22"/>
          <w:szCs w:val="22"/>
        </w:rPr>
        <w:t xml:space="preserve">Circumventing security controls (e.g. firewalls, access restrictions)</w:t>
      </w:r>
    </w:p>
    <w:p>
      <w:pPr>
        <w:pStyle w:val="ListParagraph"/>
        <w:numPr>
          <w:ilvl w:val="0"/>
          <w:numId w:val="2"/>
        </w:numPr>
        <w:spacing w:after="60" w:line="276"/>
      </w:pPr>
      <w:r>
        <w:rPr>
          <w:b w:val="false"/>
          <w:bCs w:val="false"/>
          <w:i w:val="false"/>
          <w:iCs w:val="false"/>
          <w:color w:val="1A2330"/>
          <w:sz w:val="22"/>
          <w:szCs w:val="22"/>
        </w:rPr>
        <w:t xml:space="preserve">Using company resources for illegal or unethical activities</w:t>
      </w:r>
    </w:p>
    <w:p>
      <w:pPr>
        <w:pStyle w:val="ListParagraph"/>
        <w:numPr>
          <w:ilvl w:val="0"/>
          <w:numId w:val="2"/>
        </w:numPr>
        <w:spacing w:after="60" w:line="276"/>
      </w:pPr>
      <w:r>
        <w:rPr>
          <w:b w:val="false"/>
          <w:bCs w:val="false"/>
          <w:i w:val="false"/>
          <w:iCs w:val="false"/>
          <w:color w:val="1A2330"/>
          <w:sz w:val="22"/>
          <w:szCs w:val="22"/>
        </w:rPr>
        <w:t xml:space="preserve">Accessing, storing, or distributing offensive, pirated, or non-business-related content</w:t>
      </w:r>
    </w:p>
    <w:p>
      <w:pPr>
        <w:pStyle w:val="ListParagraph"/>
        <w:numPr>
          <w:ilvl w:val="0"/>
          <w:numId w:val="2"/>
        </w:numPr>
        <w:spacing w:after="60" w:line="276"/>
      </w:pPr>
      <w:r>
        <w:rPr>
          <w:b w:val="false"/>
          <w:bCs w:val="false"/>
          <w:i w:val="false"/>
          <w:iCs w:val="false"/>
          <w:color w:val="1A2330"/>
          <w:sz w:val="22"/>
          <w:szCs w:val="22"/>
        </w:rPr>
        <w:t xml:space="preserve">Copying company data to unauthorised personal storage (e.g. USB, personal cloud)</w:t>
      </w:r>
    </w:p>
    <w:p>
      <w:pPr>
        <w:pStyle w:val="ListParagraph"/>
        <w:numPr>
          <w:ilvl w:val="0"/>
          <w:numId w:val="2"/>
        </w:numPr>
        <w:spacing w:after="60" w:line="276"/>
      </w:pPr>
      <w:r>
        <w:rPr>
          <w:b w:val="false"/>
          <w:bCs w:val="false"/>
          <w:i w:val="false"/>
          <w:iCs w:val="false"/>
          <w:color w:val="1A2330"/>
          <w:sz w:val="22"/>
          <w:szCs w:val="22"/>
        </w:rPr>
        <w:t xml:space="preserve">Using company email or tools for personal gain or non-authorised side projects</w:t>
      </w:r>
    </w:p>
    <w:p>
      <w:pPr>
        <w:pStyle w:val="Heading1"/>
      </w:pPr>
      <w:r>
        <w:t xml:space="preserve">Use of Company Devices</w:t>
      </w:r>
    </w:p>
    <w:p>
      <w:pPr>
        <w:pStyle w:val="ListParagraph"/>
        <w:numPr>
          <w:ilvl w:val="0"/>
          <w:numId w:val="2"/>
        </w:numPr>
        <w:spacing w:after="60" w:line="276"/>
      </w:pPr>
      <w:r>
        <w:rPr>
          <w:b w:val="false"/>
          <w:bCs w:val="false"/>
          <w:i w:val="false"/>
          <w:iCs w:val="false"/>
          <w:color w:val="1A2330"/>
          <w:sz w:val="22"/>
          <w:szCs w:val="22"/>
        </w:rPr>
        <w:t xml:space="preserve">Devices must be kept secure at all times (e.g. laptops must not be left in cars unattended)</w:t>
      </w:r>
    </w:p>
    <w:p>
      <w:pPr>
        <w:pStyle w:val="ListParagraph"/>
        <w:numPr>
          <w:ilvl w:val="0"/>
          <w:numId w:val="2"/>
        </w:numPr>
        <w:spacing w:after="60" w:line="276"/>
      </w:pPr>
      <w:r>
        <w:rPr>
          <w:b w:val="false"/>
          <w:bCs w:val="false"/>
          <w:i w:val="false"/>
          <w:iCs w:val="false"/>
          <w:color w:val="1A2330"/>
          <w:sz w:val="22"/>
          <w:szCs w:val="22"/>
        </w:rPr>
        <w:t xml:space="preserve">Users must not disable antivirus, firewalls, or monitoring agents</w:t>
      </w:r>
    </w:p>
    <w:p>
      <w:pPr>
        <w:pStyle w:val="ListParagraph"/>
        <w:numPr>
          <w:ilvl w:val="0"/>
          <w:numId w:val="2"/>
        </w:numPr>
        <w:spacing w:after="60" w:line="276"/>
      </w:pPr>
      <w:r>
        <w:rPr>
          <w:b w:val="false"/>
          <w:bCs w:val="false"/>
          <w:i w:val="false"/>
          <w:iCs w:val="false"/>
          <w:color w:val="1A2330"/>
          <w:sz w:val="22"/>
          <w:szCs w:val="22"/>
        </w:rPr>
        <w:t xml:space="preserve">All devices must be returned upon termination of employment</w:t>
      </w:r>
    </w:p>
    <w:p>
      <w:pPr>
        <w:pStyle w:val="Heading1"/>
      </w:pPr>
      <w:r>
        <w:t xml:space="preserve">Use of Cloud Services &amp; SaaS</w:t>
      </w:r>
    </w:p>
    <w:p>
      <w:pPr>
        <w:pStyle w:val="ListParagraph"/>
        <w:numPr>
          <w:ilvl w:val="0"/>
          <w:numId w:val="2"/>
        </w:numPr>
        <w:spacing w:after="60" w:line="276"/>
      </w:pPr>
      <w:r>
        <w:rPr>
          <w:b w:val="false"/>
          <w:bCs w:val="false"/>
          <w:i w:val="false"/>
          <w:iCs w:val="false"/>
          <w:color w:val="1A2330"/>
          <w:sz w:val="22"/>
          <w:szCs w:val="22"/>
        </w:rPr>
        <w:t xml:space="preserve">Users may only use approved SaaS and cloud platforms (e.g. AWS, GitHub)</w:t>
      </w:r>
    </w:p>
    <w:p>
      <w:pPr>
        <w:pStyle w:val="ListParagraph"/>
        <w:numPr>
          <w:ilvl w:val="0"/>
          <w:numId w:val="2"/>
        </w:numPr>
        <w:spacing w:after="60" w:line="276"/>
      </w:pPr>
      <w:r>
        <w:rPr>
          <w:b w:val="false"/>
          <w:bCs w:val="false"/>
          <w:i w:val="false"/>
          <w:iCs w:val="false"/>
          <w:color w:val="1A2330"/>
          <w:sz w:val="22"/>
          <w:szCs w:val="22"/>
        </w:rPr>
        <w:t xml:space="preserve">Access must be through company-managed accounts and tools</w:t>
      </w:r>
    </w:p>
    <w:p>
      <w:pPr>
        <w:pStyle w:val="ListParagraph"/>
        <w:numPr>
          <w:ilvl w:val="0"/>
          <w:numId w:val="2"/>
        </w:numPr>
        <w:spacing w:after="60" w:line="276"/>
      </w:pPr>
      <w:r>
        <w:rPr>
          <w:b w:val="false"/>
          <w:bCs w:val="false"/>
          <w:i w:val="false"/>
          <w:iCs w:val="false"/>
          <w:color w:val="1A2330"/>
          <w:sz w:val="22"/>
          <w:szCs w:val="22"/>
        </w:rPr>
        <w:t xml:space="preserve">All data must be stored in authorised environments</w:t>
      </w:r>
    </w:p>
    <w:p>
      <w:pPr>
        <w:pStyle w:val="Heading1"/>
      </w:pPr>
      <w:r>
        <w:t xml:space="preserve">Monitoring and Privacy</w:t>
      </w:r>
    </w:p>
    <w:p>
      <w:pPr>
        <w:pStyle w:val="ListParagraph"/>
        <w:numPr>
          <w:ilvl w:val="0"/>
          <w:numId w:val="2"/>
        </w:numPr>
        <w:spacing w:after="60" w:line="276"/>
      </w:pPr>
      <w:r>
        <w:rPr>
          <w:b w:val="false"/>
          <w:bCs w:val="false"/>
          <w:i w:val="false"/>
          <w:iCs w:val="false"/>
          <w:color w:val="1A2330"/>
          <w:sz w:val="22"/>
          <w:szCs w:val="22"/>
        </w:rPr>
        <w:t xml:space="preserve">Stark Industries reserves the right to monitor:</w:t>
      </w:r>
    </w:p>
    <w:p>
      <w:pPr>
        <w:pStyle w:val="ListParagraph"/>
        <w:numPr>
          <w:ilvl w:val="1"/>
          <w:numId w:val="2"/>
        </w:numPr>
        <w:spacing w:after="60" w:line="276"/>
      </w:pPr>
      <w:r>
        <w:rPr>
          <w:b w:val="false"/>
          <w:bCs w:val="false"/>
          <w:i w:val="false"/>
          <w:iCs w:val="false"/>
          <w:color w:val="1A2330"/>
          <w:sz w:val="22"/>
          <w:szCs w:val="22"/>
        </w:rPr>
        <w:t xml:space="preserve">Network traffic</w:t>
      </w:r>
    </w:p>
    <w:p>
      <w:pPr>
        <w:pStyle w:val="ListParagraph"/>
        <w:numPr>
          <w:ilvl w:val="1"/>
          <w:numId w:val="2"/>
        </w:numPr>
        <w:spacing w:after="60" w:line="276"/>
      </w:pPr>
      <w:r>
        <w:rPr>
          <w:b w:val="false"/>
          <w:bCs w:val="false"/>
          <w:i w:val="false"/>
          <w:iCs w:val="false"/>
          <w:color w:val="1A2330"/>
          <w:sz w:val="22"/>
          <w:szCs w:val="22"/>
        </w:rPr>
        <w:t xml:space="preserve">File storage</w:t>
      </w:r>
    </w:p>
    <w:p>
      <w:pPr>
        <w:pStyle w:val="ListParagraph"/>
        <w:numPr>
          <w:ilvl w:val="1"/>
          <w:numId w:val="2"/>
        </w:numPr>
        <w:spacing w:after="60" w:line="276"/>
      </w:pPr>
      <w:r>
        <w:rPr>
          <w:b w:val="false"/>
          <w:bCs w:val="false"/>
          <w:i w:val="false"/>
          <w:iCs w:val="false"/>
          <w:color w:val="1A2330"/>
          <w:sz w:val="22"/>
          <w:szCs w:val="22"/>
        </w:rPr>
        <w:t xml:space="preserve">Email and system usage</w:t>
      </w:r>
    </w:p>
    <w:p>
      <w:pPr>
        <w:pStyle w:val="ListParagraph"/>
        <w:numPr>
          <w:ilvl w:val="0"/>
          <w:numId w:val="2"/>
        </w:numPr>
        <w:spacing w:after="60" w:line="276"/>
      </w:pPr>
      <w:r>
        <w:rPr>
          <w:b w:val="false"/>
          <w:bCs w:val="false"/>
          <w:i w:val="false"/>
          <w:iCs w:val="false"/>
          <w:color w:val="1A2330"/>
          <w:sz w:val="22"/>
          <w:szCs w:val="22"/>
        </w:rPr>
        <w:t xml:space="preserve">Monitoring is conducted in accordance with applicable laws and internal policies</w:t>
      </w:r>
    </w:p>
    <w:p>
      <w:pPr>
        <w:pStyle w:val="Heading1"/>
      </w:pPr>
      <w:r>
        <w:t xml:space="preserve">Disciplinary Action</w:t>
      </w:r>
    </w:p>
    <w:p>
      <w:pPr>
        <w:spacing w:after="60" w:line="276"/>
        <w:jc w:val="left"/>
      </w:pPr>
      <w:r>
        <w:rPr>
          <w:b w:val="false"/>
          <w:bCs w:val="false"/>
          <w:i w:val="false"/>
          <w:iCs w:val="false"/>
          <w:color w:val="1A2330"/>
          <w:sz w:val="22"/>
          <w:szCs w:val="22"/>
        </w:rPr>
        <w:t xml:space="preserve">Violations of this policy may result in:</w:t>
      </w:r>
    </w:p>
    <w:p>
      <w:pPr>
        <w:pStyle w:val="ListParagraph"/>
        <w:numPr>
          <w:ilvl w:val="0"/>
          <w:numId w:val="2"/>
        </w:numPr>
        <w:spacing w:after="60" w:line="276"/>
      </w:pPr>
      <w:r>
        <w:rPr>
          <w:b w:val="false"/>
          <w:bCs w:val="false"/>
          <w:i w:val="false"/>
          <w:iCs w:val="false"/>
          <w:color w:val="1A2330"/>
          <w:sz w:val="22"/>
          <w:szCs w:val="22"/>
        </w:rPr>
        <w:t xml:space="preserve">Revocation of access privileges</w:t>
      </w:r>
    </w:p>
    <w:p>
      <w:pPr>
        <w:pStyle w:val="ListParagraph"/>
        <w:numPr>
          <w:ilvl w:val="0"/>
          <w:numId w:val="2"/>
        </w:numPr>
        <w:spacing w:after="60" w:line="276"/>
      </w:pPr>
      <w:r>
        <w:rPr>
          <w:b w:val="false"/>
          <w:bCs w:val="false"/>
          <w:i w:val="false"/>
          <w:iCs w:val="false"/>
          <w:color w:val="1A2330"/>
          <w:sz w:val="22"/>
          <w:szCs w:val="22"/>
        </w:rPr>
        <w:t xml:space="preserve">Disciplinary procedures, up to and including termination</w:t>
      </w:r>
    </w:p>
    <w:p>
      <w:pPr>
        <w:pStyle w:val="ListParagraph"/>
        <w:numPr>
          <w:ilvl w:val="0"/>
          <w:numId w:val="2"/>
        </w:numPr>
        <w:spacing w:after="60" w:line="276"/>
      </w:pPr>
      <w:r>
        <w:rPr>
          <w:b w:val="false"/>
          <w:bCs w:val="false"/>
          <w:i w:val="false"/>
          <w:iCs w:val="false"/>
          <w:color w:val="1A2330"/>
          <w:sz w:val="22"/>
          <w:szCs w:val="22"/>
        </w:rPr>
        <w:t xml:space="preserve">Legal action if laws or contractual obligations are breached</w:t>
      </w:r>
    </w:p>
    <w:p>
      <w:pPr>
        <w:pStyle w:val="Heading1"/>
      </w:pPr>
      <w:r>
        <w:t xml:space="preserve">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Role</w:t>
            </w:r>
          </w:p>
        </w:tc>
        <w:tc>
          <w:tcPr>
            <w:tcW w:type="dxa" w:w="676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Responsibility</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All Users</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Follow this policy and report violations</w:t>
            </w:r>
          </w:p>
        </w:tc>
      </w:tr>
      <w:tr>
        <w:tc>
          <w:tcPr>
            <w:tcW w:type="dxa" w:w="26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Information Security Manager</w:t>
            </w:r>
          </w:p>
        </w:tc>
        <w:tc>
          <w:tcPr>
            <w:tcW w:type="dxa" w:w="67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Monitor compliance and conduct reviews</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IT/Infra Team</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Enforce technical controls and support investigation of violations</w:t>
            </w:r>
          </w:p>
        </w:tc>
      </w:tr>
    </w:tbl>
    <w:p>
      <w:pPr>
        <w:pStyle w:val="Heading1"/>
      </w:pPr>
      <w:r>
        <w:t xml:space="preserve">Policy Review</w:t>
      </w:r>
    </w:p>
    <w:p>
      <w:pPr>
        <w:spacing w:after="160" w:line="276"/>
        <w:jc w:val="both"/>
      </w:pPr>
      <w:r>
        <w:rPr>
          <w:b w:val="false"/>
          <w:bCs w:val="false"/>
          <w:i w:val="false"/>
          <w:iCs w:val="false"/>
          <w:color w:val="1A2330"/>
          <w:sz w:val="22"/>
          <w:szCs w:val="22"/>
        </w:rPr>
        <w:t xml:space="preserve">This policy is reviewed annually or upon significant change to the environment or regulatory requirements.</w:t>
      </w:r>
    </w:p>
    <w:p>
      <w:pPr>
        <w:pStyle w:val="Heading1"/>
      </w:pPr>
      <w:r>
        <w:t xml:space="preserve">Acknowledgement</w:t>
      </w:r>
    </w:p>
    <w:p>
      <w:pPr>
        <w:spacing w:after="160" w:line="276"/>
        <w:jc w:val="both"/>
      </w:pPr>
      <w:r>
        <w:rPr>
          <w:b w:val="false"/>
          <w:bCs w:val="false"/>
          <w:i w:val="false"/>
          <w:iCs w:val="false"/>
          <w:color w:val="1A2330"/>
          <w:sz w:val="22"/>
          <w:szCs w:val="22"/>
        </w:rPr>
        <w:t xml:space="preserve">All employees and contractors must acknowledge this policy as part of onboarding and annually thereafter.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6FC2" w:sz="4" w:space="6"/>
      </w:pBdr>
      <w:tabs>
        <w:tab w:val="right" w:pos="9360"/>
      </w:tabs>
      <w:spacing w:before="0"/>
    </w:pPr>
    <w:r>
      <w:rPr>
        <w:color w:val="666666"/>
        <w:sz w:val="16"/>
        <w:szCs w:val="16"/>
      </w:rPr>
      <w:t xml:space="preserve">Classification: Internal</w:t>
    </w:r>
    <w:r>
      <w:rPr>
        <w:color w:val="666666"/>
        <w:sz w:val="16"/>
        <w:szCs w:val="16"/>
      </w:rPr>
      <w:t xml:space="preserve">	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FC2" w:sz="4" w:space="6"/>
      </w:pBdr>
      <w:tabs>
        <w:tab w:val="right" w:pos="9360"/>
      </w:tabs>
      <w:spacing w:after="0"/>
    </w:pPr>
    <w:r>
      <w:rPr>
        <w:b/>
        <w:bCs/>
        <w:color w:val="1F6FC2"/>
        <w:sz w:val="16"/>
        <w:szCs w:val="16"/>
      </w:rPr>
      <w:t xml:space="preserve">Stark Industries Inc.</w:t>
    </w:r>
    <w:r>
      <w:rPr>
        <w:color w:val="666666"/>
        <w:sz w:val="16"/>
        <w:szCs w:val="16"/>
      </w:rPr>
      <w:t xml:space="preserve">	Acceptable Use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3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6FC2" w:sz="6" w:space="4"/>
      </w:pBdr>
      <w:spacing w:after="160" w:before="320"/>
      <w:outlineLvl w:val="0"/>
    </w:pPr>
    <w:rPr>
      <w:rFonts w:ascii="Arial" w:cs="Arial" w:eastAsia="Arial" w:hAnsi="Arial"/>
      <w:b/>
      <w:bCs/>
      <w:color w:val="1F6FC2"/>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A233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2026-06-06T11:28:49.271Z</dcterms:created>
  <dcterms:modified xsi:type="dcterms:W3CDTF">2026-06-06T11:28:49.271Z</dcterms:modified>
</cp:coreProperties>
</file>

<file path=docProps/custom.xml><?xml version="1.0" encoding="utf-8"?>
<Properties xmlns="http://schemas.openxmlformats.org/officeDocument/2006/custom-properties" xmlns:vt="http://schemas.openxmlformats.org/officeDocument/2006/docPropsVTypes"/>
</file>