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Access Control Policy</w:t>
      </w:r>
    </w:p>
    <w:p>
      <w:pPr>
        <w:spacing w:after="0" w:before="360"/>
        <w:jc w:val="center"/>
      </w:pPr>
      <w:r>
        <w:rPr>
          <w:i/>
          <w:iCs/>
          <w:color w:val="666666"/>
          <w:sz w:val="24"/>
          <w:szCs w:val="24"/>
        </w:rPr>
        <w:t xml:space="preserve">Stark Industries Inc. - ISMS (A.5.3, A.5.15, A.5.16)</w:t>
      </w:r>
    </w:p>
    <w:p>
      <w:pPr>
        <w:spacing w:after="0" w:before="2400"/>
        <w:jc w:val="center"/>
      </w:pPr>
      <w:r>
        <w:rPr>
          <w:color w:val="666666"/>
          <w:sz w:val="20"/>
          <w:szCs w:val="20"/>
        </w:rPr>
        <w:t xml:space="preserve">Author: Nirmay Soni, Cyber Security GRC Analyst</w:t>
      </w:r>
    </w:p>
    <w:p>
      <w:pPr>
        <w:spacing w:after="0" w:before="100"/>
        <w:jc w:val="center"/>
      </w:pPr>
      <w:r>
        <w:rPr>
          <w:color w:val="666666"/>
          <w:sz w:val="20"/>
          <w:szCs w:val="20"/>
        </w:rPr>
        <w:t xml:space="preserve">Approved by: Happy Hogan, Information Security Manager</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Date</w:t>
            </w:r>
          </w:p>
        </w:tc>
        <w:tc>
          <w:tcPr>
            <w:tcW w:type="dxa" w:w="9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Version</w:t>
            </w:r>
          </w:p>
        </w:tc>
        <w:tc>
          <w:tcPr>
            <w:tcW w:type="dxa" w:w="10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Author</w:t>
            </w:r>
          </w:p>
        </w:tc>
        <w:tc>
          <w:tcPr>
            <w:tcW w:type="dxa" w:w="1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Description</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Approved By</w:t>
            </w:r>
          </w:p>
        </w:tc>
        <w:tc>
          <w:tcPr>
            <w:tcW w:type="dxa" w:w="118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Last Updated</w:t>
            </w:r>
          </w:p>
        </w:tc>
        <w:tc>
          <w:tcPr>
            <w:tcW w:type="dxa" w:w="13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Review Frequency</w:t>
            </w:r>
          </w:p>
        </w:tc>
        <w:tc>
          <w:tcPr>
            <w:tcW w:type="dxa" w:w="12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Next Review</w:t>
            </w:r>
          </w:p>
        </w:tc>
      </w:tr>
      <w:tr>
        <w:tc>
          <w:tcPr>
            <w:tcW w:type="dxa" w:w="10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1.0</w:t>
            </w:r>
          </w:p>
        </w:tc>
        <w:tc>
          <w:tcPr>
            <w:tcW w:type="dxa" w:w="10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Nirmay Soni</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Initial issue</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Happy Hogan</w:t>
            </w:r>
          </w:p>
        </w:tc>
        <w:tc>
          <w:tcPr>
            <w:tcW w:type="dxa" w:w="11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15 Jan 2026</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Annual</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Jan 2027</w:t>
            </w:r>
          </w:p>
        </w:tc>
      </w:tr>
    </w:tbl>
    <w:p>
      <w:pPr>
        <w:pStyle w:val="Heading1"/>
      </w:pPr>
      <w:r>
        <w:t xml:space="preserve">Purpose</w:t>
      </w:r>
    </w:p>
    <w:p>
      <w:pPr>
        <w:spacing w:after="160" w:line="276"/>
        <w:jc w:val="both"/>
      </w:pPr>
      <w:r>
        <w:rPr>
          <w:b w:val="false"/>
          <w:bCs w:val="false"/>
          <w:i w:val="false"/>
          <w:iCs w:val="false"/>
          <w:color w:val="1A2330"/>
          <w:sz w:val="22"/>
          <w:szCs w:val="22"/>
        </w:rPr>
        <w:t xml:space="preserve">This policy establishes rules and responsibilities for managing user access to information systems, applications, and data to ensure that only authorised individuals have access to relevant resources based on business need and job role.</w:t>
      </w:r>
    </w:p>
    <w:p>
      <w:pPr>
        <w:pStyle w:val="Heading1"/>
      </w:pPr>
      <w:r>
        <w:t xml:space="preserve">Scope</w:t>
      </w:r>
    </w:p>
    <w:p>
      <w:pPr>
        <w:spacing w:after="160" w:line="276"/>
        <w:jc w:val="both"/>
      </w:pPr>
      <w:r>
        <w:rPr>
          <w:b w:val="false"/>
          <w:bCs w:val="false"/>
          <w:i w:val="false"/>
          <w:iCs w:val="false"/>
          <w:color w:val="1A2330"/>
          <w:sz w:val="22"/>
          <w:szCs w:val="22"/>
        </w:rPr>
        <w:t xml:space="preserve">Applies to all employees, contractors, and third-party users of systems, applications, and networks within the ISMS scope of Stark Industries Inc., including the SaaS platform and supporting infrastructure.</w:t>
      </w:r>
    </w:p>
    <w:p>
      <w:pPr>
        <w:pStyle w:val="Heading1"/>
      </w:pPr>
      <w:r>
        <w:t xml:space="preserve">Access Control Principles</w:t>
      </w:r>
    </w:p>
    <w:p>
      <w:pPr>
        <w:pStyle w:val="ListParagraph"/>
        <w:numPr>
          <w:ilvl w:val="0"/>
          <w:numId w:val="2"/>
        </w:numPr>
        <w:spacing w:after="60" w:line="276"/>
      </w:pPr>
      <w:r>
        <w:rPr>
          <w:b/>
          <w:bCs/>
          <w:i w:val="false"/>
          <w:iCs w:val="false"/>
          <w:color w:val="1A2330"/>
          <w:sz w:val="22"/>
          <w:szCs w:val="22"/>
        </w:rPr>
        <w:t xml:space="preserve">Least Privilege</w:t>
      </w:r>
      <w:r>
        <w:rPr>
          <w:b w:val="false"/>
          <w:bCs w:val="false"/>
          <w:i w:val="false"/>
          <w:iCs w:val="false"/>
          <w:color w:val="1A2330"/>
          <w:sz w:val="22"/>
          <w:szCs w:val="22"/>
        </w:rPr>
        <w:t xml:space="preserve">: Users are granted the minimum access necessary to perform their duties.</w:t>
      </w:r>
    </w:p>
    <w:p>
      <w:pPr>
        <w:pStyle w:val="ListParagraph"/>
        <w:numPr>
          <w:ilvl w:val="0"/>
          <w:numId w:val="2"/>
        </w:numPr>
        <w:spacing w:after="60" w:line="276"/>
      </w:pPr>
      <w:r>
        <w:rPr>
          <w:b/>
          <w:bCs/>
          <w:i w:val="false"/>
          <w:iCs w:val="false"/>
          <w:color w:val="1A2330"/>
          <w:sz w:val="22"/>
          <w:szCs w:val="22"/>
        </w:rPr>
        <w:t xml:space="preserve">Need to Know</w:t>
      </w:r>
      <w:r>
        <w:rPr>
          <w:b w:val="false"/>
          <w:bCs w:val="false"/>
          <w:i w:val="false"/>
          <w:iCs w:val="false"/>
          <w:color w:val="1A2330"/>
          <w:sz w:val="22"/>
          <w:szCs w:val="22"/>
        </w:rPr>
        <w:t xml:space="preserve">: Access to confidential and restricted information is limited to those with a justified business requirement.</w:t>
      </w:r>
    </w:p>
    <w:p>
      <w:pPr>
        <w:pStyle w:val="ListParagraph"/>
        <w:numPr>
          <w:ilvl w:val="0"/>
          <w:numId w:val="2"/>
        </w:numPr>
        <w:spacing w:after="60" w:line="276"/>
      </w:pPr>
      <w:r>
        <w:rPr>
          <w:b/>
          <w:bCs/>
          <w:i w:val="false"/>
          <w:iCs w:val="false"/>
          <w:color w:val="1A2330"/>
          <w:sz w:val="22"/>
          <w:szCs w:val="22"/>
        </w:rPr>
        <w:t xml:space="preserve">Role-Based Access Control (RBAC)</w:t>
      </w:r>
      <w:r>
        <w:rPr>
          <w:b w:val="false"/>
          <w:bCs w:val="false"/>
          <w:i w:val="false"/>
          <w:iCs w:val="false"/>
          <w:color w:val="1A2330"/>
          <w:sz w:val="22"/>
          <w:szCs w:val="22"/>
        </w:rPr>
        <w:t xml:space="preserve">: Access is defined and granted according to job function.</w:t>
      </w:r>
    </w:p>
    <w:p>
      <w:pPr>
        <w:pStyle w:val="ListParagraph"/>
        <w:numPr>
          <w:ilvl w:val="0"/>
          <w:numId w:val="2"/>
        </w:numPr>
        <w:spacing w:after="60" w:line="276"/>
      </w:pPr>
      <w:r>
        <w:rPr>
          <w:b/>
          <w:bCs/>
          <w:i w:val="false"/>
          <w:iCs w:val="false"/>
          <w:color w:val="1A2330"/>
          <w:sz w:val="22"/>
          <w:szCs w:val="22"/>
        </w:rPr>
        <w:t xml:space="preserve">Segregation of Duties</w:t>
      </w:r>
      <w:r>
        <w:rPr>
          <w:b w:val="false"/>
          <w:bCs w:val="false"/>
          <w:i w:val="false"/>
          <w:iCs w:val="false"/>
          <w:color w:val="1A2330"/>
          <w:sz w:val="22"/>
          <w:szCs w:val="22"/>
        </w:rPr>
        <w:t xml:space="preserve">: Critical tasks (e.g. code changes, production deployments, financial approvals) must be split among multiple users to prevent errors and reduce fraud risk.</w:t>
      </w:r>
    </w:p>
    <w:p>
      <w:pPr>
        <w:pStyle w:val="Heading1"/>
      </w:pPr>
      <w:r>
        <w:t xml:space="preserve">User Access Management</w:t>
      </w:r>
    </w:p>
    <w:p>
      <w:pPr>
        <w:pStyle w:val="Heading2"/>
      </w:pPr>
      <w:r>
        <w:t xml:space="preserve">User Registration and De-registration</w:t>
      </w:r>
    </w:p>
    <w:p>
      <w:pPr>
        <w:pStyle w:val="ListParagraph"/>
        <w:numPr>
          <w:ilvl w:val="0"/>
          <w:numId w:val="2"/>
        </w:numPr>
        <w:spacing w:after="60" w:line="276"/>
      </w:pPr>
      <w:r>
        <w:rPr>
          <w:b w:val="false"/>
          <w:bCs w:val="false"/>
          <w:i w:val="false"/>
          <w:iCs w:val="false"/>
          <w:color w:val="1A2330"/>
          <w:sz w:val="22"/>
          <w:szCs w:val="22"/>
        </w:rPr>
        <w:t xml:space="preserve">All user accounts must be formally requested, approved, and documented.</w:t>
      </w:r>
    </w:p>
    <w:p>
      <w:pPr>
        <w:pStyle w:val="ListParagraph"/>
        <w:numPr>
          <w:ilvl w:val="0"/>
          <w:numId w:val="2"/>
        </w:numPr>
        <w:spacing w:after="60" w:line="276"/>
      </w:pPr>
      <w:r>
        <w:rPr>
          <w:b w:val="false"/>
          <w:bCs w:val="false"/>
          <w:i w:val="false"/>
          <w:iCs w:val="false"/>
          <w:color w:val="1A2330"/>
          <w:sz w:val="22"/>
          <w:szCs w:val="22"/>
        </w:rPr>
        <w:t xml:space="preserve">Access is removed immediately when a user leaves the company or changes roles.</w:t>
      </w:r>
    </w:p>
    <w:p>
      <w:pPr>
        <w:pStyle w:val="Heading1"/>
      </w:pPr>
      <w:r>
        <w:t xml:space="preserve">User Responsibilities (A.5.16)</w:t>
      </w:r>
    </w:p>
    <w:p>
      <w:pPr>
        <w:spacing w:after="60" w:line="276"/>
        <w:jc w:val="left"/>
      </w:pPr>
      <w:r>
        <w:rPr>
          <w:b w:val="false"/>
          <w:bCs w:val="false"/>
          <w:i w:val="false"/>
          <w:iCs w:val="false"/>
          <w:color w:val="1A2330"/>
          <w:sz w:val="22"/>
          <w:szCs w:val="22"/>
        </w:rPr>
        <w:t xml:space="preserve">Users </w:t>
      </w:r>
      <w:r>
        <w:rPr>
          <w:b/>
          <w:bCs/>
          <w:i w:val="false"/>
          <w:iCs w:val="false"/>
          <w:color w:val="1A2330"/>
          <w:sz w:val="22"/>
          <w:szCs w:val="22"/>
        </w:rPr>
        <w:t xml:space="preserve">must</w:t>
      </w:r>
      <w:r>
        <w:rPr>
          <w:b w:val="false"/>
          <w:bCs w:val="false"/>
          <w:i w:val="false"/>
          <w:iCs w:val="false"/>
          <w:color w:val="1A2330"/>
          <w:sz w:val="22"/>
          <w:szCs w:val="22"/>
        </w:rPr>
        <w:t xml:space="preserve">:</w:t>
      </w:r>
    </w:p>
    <w:p>
      <w:pPr>
        <w:pStyle w:val="ListParagraph"/>
        <w:numPr>
          <w:ilvl w:val="0"/>
          <w:numId w:val="2"/>
        </w:numPr>
        <w:spacing w:after="60" w:line="276"/>
      </w:pPr>
      <w:r>
        <w:rPr>
          <w:b w:val="false"/>
          <w:bCs w:val="false"/>
          <w:i w:val="false"/>
          <w:iCs w:val="false"/>
          <w:color w:val="1A2330"/>
          <w:sz w:val="22"/>
          <w:szCs w:val="22"/>
        </w:rPr>
        <w:t xml:space="preserve">Keep credentials confidential and secure</w:t>
      </w:r>
    </w:p>
    <w:p>
      <w:pPr>
        <w:pStyle w:val="ListParagraph"/>
        <w:numPr>
          <w:ilvl w:val="0"/>
          <w:numId w:val="2"/>
        </w:numPr>
        <w:spacing w:after="60" w:line="276"/>
      </w:pPr>
      <w:r>
        <w:rPr>
          <w:b w:val="false"/>
          <w:bCs w:val="false"/>
          <w:i w:val="false"/>
          <w:iCs w:val="false"/>
          <w:color w:val="1A2330"/>
          <w:sz w:val="22"/>
          <w:szCs w:val="22"/>
        </w:rPr>
        <w:t xml:space="preserve">Report suspected unauthorised access immediately</w:t>
      </w:r>
    </w:p>
    <w:p>
      <w:pPr>
        <w:pStyle w:val="ListParagraph"/>
        <w:numPr>
          <w:ilvl w:val="0"/>
          <w:numId w:val="2"/>
        </w:numPr>
        <w:spacing w:after="60" w:line="276"/>
      </w:pPr>
      <w:r>
        <w:rPr>
          <w:b w:val="false"/>
          <w:bCs w:val="false"/>
          <w:i w:val="false"/>
          <w:iCs w:val="false"/>
          <w:color w:val="1A2330"/>
          <w:sz w:val="22"/>
          <w:szCs w:val="22"/>
        </w:rPr>
        <w:t xml:space="preserve">Not share login credentials or reuse passwords across systems</w:t>
      </w:r>
    </w:p>
    <w:p>
      <w:pPr>
        <w:pStyle w:val="Heading1"/>
      </w:pPr>
      <w:r>
        <w:t xml:space="preserve">Access Review and Monitoring</w:t>
      </w:r>
    </w:p>
    <w:p>
      <w:pPr>
        <w:pStyle w:val="ListParagraph"/>
        <w:numPr>
          <w:ilvl w:val="0"/>
          <w:numId w:val="2"/>
        </w:numPr>
        <w:spacing w:after="60" w:line="276"/>
      </w:pPr>
      <w:r>
        <w:rPr>
          <w:b w:val="false"/>
          <w:bCs w:val="false"/>
          <w:i w:val="false"/>
          <w:iCs w:val="false"/>
          <w:color w:val="1A2330"/>
          <w:sz w:val="22"/>
          <w:szCs w:val="22"/>
        </w:rPr>
        <w:t xml:space="preserve">Access to key systems is reviewed:</w:t>
      </w:r>
    </w:p>
    <w:p>
      <w:pPr>
        <w:pStyle w:val="ListParagraph"/>
        <w:numPr>
          <w:ilvl w:val="1"/>
          <w:numId w:val="2"/>
        </w:numPr>
        <w:spacing w:after="60" w:line="276"/>
      </w:pPr>
      <w:r>
        <w:rPr>
          <w:b w:val="false"/>
          <w:bCs w:val="false"/>
          <w:i w:val="false"/>
          <w:iCs w:val="false"/>
          <w:color w:val="1A2330"/>
          <w:sz w:val="22"/>
          <w:szCs w:val="22"/>
        </w:rPr>
        <w:t xml:space="preserve">Quarterly for privileged accounts</w:t>
      </w:r>
    </w:p>
    <w:p>
      <w:pPr>
        <w:pStyle w:val="ListParagraph"/>
        <w:numPr>
          <w:ilvl w:val="1"/>
          <w:numId w:val="2"/>
        </w:numPr>
        <w:spacing w:after="60" w:line="276"/>
      </w:pPr>
      <w:r>
        <w:rPr>
          <w:b w:val="false"/>
          <w:bCs w:val="false"/>
          <w:i w:val="false"/>
          <w:iCs w:val="false"/>
          <w:color w:val="1A2330"/>
          <w:sz w:val="22"/>
          <w:szCs w:val="22"/>
        </w:rPr>
        <w:t xml:space="preserve">Annually for all other users</w:t>
      </w:r>
    </w:p>
    <w:p>
      <w:pPr>
        <w:pStyle w:val="ListParagraph"/>
        <w:numPr>
          <w:ilvl w:val="0"/>
          <w:numId w:val="2"/>
        </w:numPr>
        <w:spacing w:after="60" w:line="276"/>
      </w:pPr>
      <w:r>
        <w:rPr>
          <w:b w:val="false"/>
          <w:bCs w:val="false"/>
          <w:i w:val="false"/>
          <w:iCs w:val="false"/>
          <w:color w:val="1A2330"/>
          <w:sz w:val="22"/>
          <w:szCs w:val="22"/>
        </w:rPr>
        <w:t xml:space="preserve">Inactive accounts are disabled or removed after 30 days of inactivity.</w:t>
      </w:r>
    </w:p>
    <w:p>
      <w:pPr>
        <w:pStyle w:val="Heading1"/>
      </w:pPr>
      <w:r>
        <w:t xml:space="preserve">Remote Access and Third Parties</w:t>
      </w:r>
    </w:p>
    <w:p>
      <w:pPr>
        <w:pStyle w:val="ListParagraph"/>
        <w:numPr>
          <w:ilvl w:val="0"/>
          <w:numId w:val="2"/>
        </w:numPr>
        <w:spacing w:after="60" w:line="276"/>
      </w:pPr>
      <w:r>
        <w:rPr>
          <w:b w:val="false"/>
          <w:bCs w:val="false"/>
          <w:i w:val="false"/>
          <w:iCs w:val="false"/>
          <w:color w:val="1A2330"/>
          <w:sz w:val="22"/>
          <w:szCs w:val="22"/>
        </w:rPr>
        <w:t xml:space="preserve">Remote access (e.g. VPN, SSH) is only permitted through approved, secure channels.</w:t>
      </w:r>
    </w:p>
    <w:p>
      <w:pPr>
        <w:pStyle w:val="ListParagraph"/>
        <w:numPr>
          <w:ilvl w:val="0"/>
          <w:numId w:val="2"/>
        </w:numPr>
        <w:spacing w:after="60" w:line="276"/>
      </w:pPr>
      <w:r>
        <w:rPr>
          <w:b w:val="false"/>
          <w:bCs w:val="false"/>
          <w:i w:val="false"/>
          <w:iCs w:val="false"/>
          <w:color w:val="1A2330"/>
          <w:sz w:val="22"/>
          <w:szCs w:val="22"/>
        </w:rPr>
        <w:t xml:space="preserve">Third-party access (e.g. vendors) requires:</w:t>
      </w:r>
    </w:p>
    <w:p>
      <w:pPr>
        <w:pStyle w:val="ListParagraph"/>
        <w:numPr>
          <w:ilvl w:val="1"/>
          <w:numId w:val="2"/>
        </w:numPr>
        <w:spacing w:after="60" w:line="276"/>
      </w:pPr>
      <w:r>
        <w:rPr>
          <w:b w:val="false"/>
          <w:bCs w:val="false"/>
          <w:i w:val="false"/>
          <w:iCs w:val="false"/>
          <w:color w:val="1A2330"/>
          <w:sz w:val="22"/>
          <w:szCs w:val="22"/>
        </w:rPr>
        <w:t xml:space="preserve">NDA or contract in place</w:t>
      </w:r>
    </w:p>
    <w:p>
      <w:pPr>
        <w:pStyle w:val="ListParagraph"/>
        <w:numPr>
          <w:ilvl w:val="1"/>
          <w:numId w:val="2"/>
        </w:numPr>
        <w:spacing w:after="60" w:line="276"/>
      </w:pPr>
      <w:r>
        <w:rPr>
          <w:b w:val="false"/>
          <w:bCs w:val="false"/>
          <w:i w:val="false"/>
          <w:iCs w:val="false"/>
          <w:color w:val="1A2330"/>
          <w:sz w:val="22"/>
          <w:szCs w:val="22"/>
        </w:rPr>
        <w:t xml:space="preserve">Time-bound, monitored access</w:t>
      </w:r>
    </w:p>
    <w:p>
      <w:pPr>
        <w:pStyle w:val="ListParagraph"/>
        <w:numPr>
          <w:ilvl w:val="1"/>
          <w:numId w:val="2"/>
        </w:numPr>
        <w:spacing w:after="60" w:line="276"/>
      </w:pPr>
      <w:r>
        <w:rPr>
          <w:b w:val="false"/>
          <w:bCs w:val="false"/>
          <w:i w:val="false"/>
          <w:iCs w:val="false"/>
          <w:color w:val="1A2330"/>
          <w:sz w:val="22"/>
          <w:szCs w:val="22"/>
        </w:rPr>
        <w:t xml:space="preserve">Logging and review of actions</w:t>
      </w:r>
    </w:p>
    <w:p>
      <w:pPr>
        <w:pStyle w:val="Heading1"/>
      </w:pPr>
      <w:r>
        <w:t xml:space="preserve">Authentication Requirements</w:t>
      </w:r>
    </w:p>
    <w:p>
      <w:pPr>
        <w:pStyle w:val="ListParagraph"/>
        <w:numPr>
          <w:ilvl w:val="0"/>
          <w:numId w:val="2"/>
        </w:numPr>
        <w:spacing w:after="60" w:line="276"/>
      </w:pPr>
      <w:r>
        <w:rPr>
          <w:b w:val="false"/>
          <w:bCs w:val="false"/>
          <w:i w:val="false"/>
          <w:iCs w:val="false"/>
          <w:color w:val="1A2330"/>
          <w:sz w:val="22"/>
          <w:szCs w:val="22"/>
        </w:rPr>
        <w:t xml:space="preserve">All systems require strong authentication (e.g. minimum 12-character passwords).</w:t>
      </w:r>
    </w:p>
    <w:p>
      <w:pPr>
        <w:pStyle w:val="ListParagraph"/>
        <w:numPr>
          <w:ilvl w:val="0"/>
          <w:numId w:val="2"/>
        </w:numPr>
        <w:spacing w:after="60" w:line="276"/>
      </w:pPr>
      <w:r>
        <w:rPr>
          <w:b w:val="false"/>
          <w:bCs w:val="false"/>
          <w:i w:val="false"/>
          <w:iCs w:val="false"/>
          <w:color w:val="1A2330"/>
          <w:sz w:val="22"/>
          <w:szCs w:val="22"/>
        </w:rPr>
        <w:t xml:space="preserve">MFA (Multi-Factor Authentication) is enforced for:</w:t>
      </w:r>
    </w:p>
    <w:p>
      <w:pPr>
        <w:pStyle w:val="ListParagraph"/>
        <w:numPr>
          <w:ilvl w:val="1"/>
          <w:numId w:val="2"/>
        </w:numPr>
        <w:spacing w:after="60" w:line="276"/>
      </w:pPr>
      <w:r>
        <w:rPr>
          <w:b w:val="false"/>
          <w:bCs w:val="false"/>
          <w:i w:val="false"/>
          <w:iCs w:val="false"/>
          <w:color w:val="1A2330"/>
          <w:sz w:val="22"/>
          <w:szCs w:val="22"/>
        </w:rPr>
        <w:t xml:space="preserve">Admin accounts</w:t>
      </w:r>
    </w:p>
    <w:p>
      <w:pPr>
        <w:pStyle w:val="ListParagraph"/>
        <w:numPr>
          <w:ilvl w:val="1"/>
          <w:numId w:val="2"/>
        </w:numPr>
        <w:spacing w:after="60" w:line="276"/>
      </w:pPr>
      <w:r>
        <w:rPr>
          <w:b w:val="false"/>
          <w:bCs w:val="false"/>
          <w:i w:val="false"/>
          <w:iCs w:val="false"/>
          <w:color w:val="1A2330"/>
          <w:sz w:val="22"/>
          <w:szCs w:val="22"/>
        </w:rPr>
        <w:t xml:space="preserve">Cloud environments (e.g. AWS, GitHub)</w:t>
      </w:r>
    </w:p>
    <w:p>
      <w:pPr>
        <w:pStyle w:val="ListParagraph"/>
        <w:numPr>
          <w:ilvl w:val="1"/>
          <w:numId w:val="2"/>
        </w:numPr>
        <w:spacing w:after="60" w:line="276"/>
      </w:pPr>
      <w:r>
        <w:rPr>
          <w:b w:val="false"/>
          <w:bCs w:val="false"/>
          <w:i w:val="false"/>
          <w:iCs w:val="false"/>
          <w:color w:val="1A2330"/>
          <w:sz w:val="22"/>
          <w:szCs w:val="22"/>
        </w:rPr>
        <w:t xml:space="preserve">Remote access</w:t>
      </w:r>
    </w:p>
    <w:p>
      <w:pPr>
        <w:pStyle w:val="Heading1"/>
      </w:pPr>
      <w:r>
        <w:t xml:space="preserve">Access to Sensitive Data</w:t>
      </w:r>
    </w:p>
    <w:p>
      <w:pPr>
        <w:pStyle w:val="ListParagraph"/>
        <w:numPr>
          <w:ilvl w:val="0"/>
          <w:numId w:val="2"/>
        </w:numPr>
        <w:spacing w:after="60" w:line="276"/>
      </w:pPr>
      <w:r>
        <w:rPr>
          <w:b w:val="false"/>
          <w:bCs w:val="false"/>
          <w:i w:val="false"/>
          <w:iCs w:val="false"/>
          <w:color w:val="1A2330"/>
          <w:sz w:val="22"/>
          <w:szCs w:val="22"/>
        </w:rPr>
        <w:t xml:space="preserve">Access to confidential or restricted data (e.g. source code, CI/CD, databases) must be:</w:t>
      </w:r>
    </w:p>
    <w:p>
      <w:pPr>
        <w:pStyle w:val="ListParagraph"/>
        <w:numPr>
          <w:ilvl w:val="1"/>
          <w:numId w:val="2"/>
        </w:numPr>
        <w:spacing w:after="60" w:line="276"/>
      </w:pPr>
      <w:r>
        <w:rPr>
          <w:b w:val="false"/>
          <w:bCs w:val="false"/>
          <w:i w:val="false"/>
          <w:iCs w:val="false"/>
          <w:color w:val="1A2330"/>
          <w:sz w:val="22"/>
          <w:szCs w:val="22"/>
        </w:rPr>
        <w:t xml:space="preserve">Logged</w:t>
      </w:r>
    </w:p>
    <w:p>
      <w:pPr>
        <w:pStyle w:val="ListParagraph"/>
        <w:numPr>
          <w:ilvl w:val="1"/>
          <w:numId w:val="2"/>
        </w:numPr>
        <w:spacing w:after="60" w:line="276"/>
      </w:pPr>
      <w:r>
        <w:rPr>
          <w:b w:val="false"/>
          <w:bCs w:val="false"/>
          <w:i w:val="false"/>
          <w:iCs w:val="false"/>
          <w:color w:val="1A2330"/>
          <w:sz w:val="22"/>
          <w:szCs w:val="22"/>
        </w:rPr>
        <w:t xml:space="preserve">Reviewed for anomalies</w:t>
      </w:r>
    </w:p>
    <w:p>
      <w:pPr>
        <w:pStyle w:val="ListParagraph"/>
        <w:numPr>
          <w:ilvl w:val="1"/>
          <w:numId w:val="2"/>
        </w:numPr>
        <w:spacing w:after="60" w:line="276"/>
      </w:pPr>
      <w:r>
        <w:rPr>
          <w:b w:val="false"/>
          <w:bCs w:val="false"/>
          <w:i w:val="false"/>
          <w:iCs w:val="false"/>
          <w:color w:val="1A2330"/>
          <w:sz w:val="22"/>
          <w:szCs w:val="22"/>
        </w:rPr>
        <w:t xml:space="preserve">Limited to individuals with signed access agreements</w:t>
      </w:r>
    </w:p>
    <w:p>
      <w:pPr>
        <w:pStyle w:val="Heading1"/>
      </w:pPr>
      <w:r>
        <w:t xml:space="preserve">Segregation of Duties Implementation (A.5.3)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Function</w:t>
            </w:r>
          </w:p>
        </w:tc>
        <w:tc>
          <w:tcPr>
            <w:tcW w:type="dxa" w:w="24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Primary Role</w:t>
            </w:r>
          </w:p>
        </w:tc>
        <w:tc>
          <w:tcPr>
            <w:tcW w:type="dxa" w:w="41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Secondary/Approval Role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Code development and deployment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Developer</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Infrastructure Engineer (approves production deployment)</w:t>
            </w:r>
          </w:p>
        </w:tc>
      </w:tr>
      <w:tr>
        <w:tc>
          <w:tcPr>
            <w:tcW w:type="dxa" w:w="2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bCs/>
                <w:i w:val="false"/>
                <w:iCs w:val="false"/>
                <w:color w:val="1A2330"/>
                <w:sz w:val="18"/>
                <w:szCs w:val="18"/>
              </w:rPr>
              <w:t xml:space="preserve">Access approvals for critical systems</w:t>
            </w:r>
          </w:p>
        </w:tc>
        <w:tc>
          <w:tcPr>
            <w:tcW w:type="dxa" w:w="2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System Owner</w:t>
            </w:r>
          </w:p>
        </w:tc>
        <w:tc>
          <w:tcPr>
            <w:tcW w:type="dxa" w:w="41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Manager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bCs/>
                <w:i w:val="false"/>
                <w:iCs w:val="false"/>
                <w:color w:val="1A2330"/>
                <w:sz w:val="18"/>
                <w:szCs w:val="18"/>
              </w:rPr>
              <w:t xml:space="preserve">Backup and restoration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Infrastructure Engineer</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GRC Analyst or IT Engineer</w:t>
            </w:r>
          </w:p>
        </w:tc>
      </w:tr>
    </w:tbl>
    <w:p>
      <w:pPr>
        <w:pStyle w:val="Heading1"/>
      </w:pPr>
      <w:r>
        <w:t xml:space="preserve">Enforcement</w:t>
      </w:r>
    </w:p>
    <w:p>
      <w:pPr>
        <w:spacing w:after="60" w:line="276"/>
        <w:jc w:val="left"/>
      </w:pPr>
      <w:r>
        <w:rPr>
          <w:b w:val="false"/>
          <w:bCs w:val="false"/>
          <w:i w:val="false"/>
          <w:iCs w:val="false"/>
          <w:color w:val="1A2330"/>
          <w:sz w:val="22"/>
          <w:szCs w:val="22"/>
        </w:rPr>
        <w:t xml:space="preserve">Violations of this policy may result in:</w:t>
      </w:r>
    </w:p>
    <w:p>
      <w:pPr>
        <w:pStyle w:val="ListParagraph"/>
        <w:numPr>
          <w:ilvl w:val="0"/>
          <w:numId w:val="2"/>
        </w:numPr>
        <w:spacing w:after="60" w:line="276"/>
      </w:pPr>
      <w:r>
        <w:rPr>
          <w:b w:val="false"/>
          <w:bCs w:val="false"/>
          <w:i w:val="false"/>
          <w:iCs w:val="false"/>
          <w:color w:val="1A2330"/>
          <w:sz w:val="22"/>
          <w:szCs w:val="22"/>
        </w:rPr>
        <w:t xml:space="preserve">Immediate access revocation</w:t>
      </w:r>
    </w:p>
    <w:p>
      <w:pPr>
        <w:pStyle w:val="ListParagraph"/>
        <w:numPr>
          <w:ilvl w:val="0"/>
          <w:numId w:val="2"/>
        </w:numPr>
        <w:spacing w:after="60" w:line="276"/>
      </w:pPr>
      <w:r>
        <w:rPr>
          <w:b w:val="false"/>
          <w:bCs w:val="false"/>
          <w:i w:val="false"/>
          <w:iCs w:val="false"/>
          <w:color w:val="1A2330"/>
          <w:sz w:val="22"/>
          <w:szCs w:val="22"/>
        </w:rPr>
        <w:t xml:space="preserve">Disciplinary action</w:t>
      </w:r>
    </w:p>
    <w:p>
      <w:pPr>
        <w:pStyle w:val="ListParagraph"/>
        <w:numPr>
          <w:ilvl w:val="0"/>
          <w:numId w:val="2"/>
        </w:numPr>
        <w:spacing w:after="60" w:line="276"/>
      </w:pPr>
      <w:r>
        <w:rPr>
          <w:b w:val="false"/>
          <w:bCs w:val="false"/>
          <w:i w:val="false"/>
          <w:iCs w:val="false"/>
          <w:color w:val="1A2330"/>
          <w:sz w:val="22"/>
          <w:szCs w:val="22"/>
        </w:rPr>
        <w:t xml:space="preserve">Potential legal consequences</w:t>
      </w:r>
    </w:p>
    <w:p>
      <w:pPr>
        <w:pStyle w:val="Heading1"/>
      </w:pPr>
      <w: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Role</w:t>
            </w:r>
          </w:p>
        </w:tc>
        <w:tc>
          <w:tcPr>
            <w:tcW w:type="dxa" w:w="6760"/>
            <w:tcBorders>
              <w:top w:val="single" w:color="CCCCCC" w:sz="4"/>
              <w:left w:val="single" w:color="CCCCCC" w:sz="4"/>
              <w:bottom w:val="single" w:color="CCCCCC" w:sz="4"/>
              <w:right w:val="single" w:color="CCCCCC" w:sz="4"/>
            </w:tcBorders>
            <w:shd w:fill="1F6FC2" w:color="auto" w:val="clear"/>
            <w:tcMar>
              <w:top w:type="dxa" w:w="80"/>
              <w:left w:type="dxa" w:w="120"/>
              <w:bottom w:type="dxa" w:w="80"/>
              <w:right w:type="dxa" w:w="120"/>
            </w:tcMar>
            <w:vAlign w:val="center"/>
          </w:tcPr>
          <w:p>
            <w:pPr>
              <w:spacing w:after="0" w:line="240"/>
            </w:pPr>
            <w:r>
              <w:rPr>
                <w:b/>
                <w:bCs/>
                <w:i w:val="false"/>
                <w:iCs w:val="false"/>
                <w:color w:val="FFFFFF"/>
                <w:sz w:val="18"/>
                <w:szCs w:val="18"/>
              </w:rPr>
              <w:t xml:space="preserve">Responsibility</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Information Security Manager</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Oversees policy enforcement and reviews</w:t>
            </w:r>
          </w:p>
        </w:tc>
      </w:tr>
      <w:tr>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GRC Analyst</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Conducts access reviews, tracks approvals, supports audits</w:t>
            </w:r>
          </w:p>
        </w:tc>
      </w:tr>
      <w:tr>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System Owners</w:t>
            </w:r>
          </w:p>
        </w:tc>
        <w:tc>
          <w:tcPr>
            <w:tcW w:type="dxa" w:w="6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Approve and monitor access to their respective assets</w:t>
            </w:r>
          </w:p>
        </w:tc>
      </w:tr>
      <w:tr>
        <w:tc>
          <w:tcPr>
            <w:tcW w:type="dxa" w:w="26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All Users</w:t>
            </w:r>
          </w:p>
        </w:tc>
        <w:tc>
          <w:tcPr>
            <w:tcW w:type="dxa" w:w="67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vAlign w:val="center"/>
          </w:tcPr>
          <w:p>
            <w:pPr>
              <w:spacing w:after="0" w:line="240"/>
            </w:pPr>
            <w:r>
              <w:rPr>
                <w:b w:val="false"/>
                <w:bCs w:val="false"/>
                <w:i w:val="false"/>
                <w:iCs w:val="false"/>
                <w:color w:val="1A2330"/>
                <w:sz w:val="18"/>
                <w:szCs w:val="18"/>
              </w:rPr>
              <w:t xml:space="preserve">Follow access procedures and report issues promptly</w:t>
            </w:r>
          </w:p>
        </w:tc>
      </w:tr>
    </w:tbl>
    <w:p>
      <w:pPr>
        <w:pStyle w:val="Heading1"/>
      </w:pPr>
      <w:r>
        <w:t xml:space="preserve">Policy Review</w:t>
      </w:r>
    </w:p>
    <w:p>
      <w:pPr>
        <w:spacing w:after="160" w:line="276"/>
        <w:jc w:val="both"/>
      </w:pPr>
      <w:r>
        <w:rPr>
          <w:b w:val="false"/>
          <w:bCs w:val="false"/>
          <w:i w:val="false"/>
          <w:iCs w:val="false"/>
          <w:color w:val="1A2330"/>
          <w:sz w:val="22"/>
          <w:szCs w:val="22"/>
        </w:rPr>
        <w:t xml:space="preserve">This policy is reviewed annually or upon significant change to the environment or regulatory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Access Control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2026-06-06T11:28:49.366Z</dcterms:created>
  <dcterms:modified xsi:type="dcterms:W3CDTF">2026-06-06T11:28:49.366Z</dcterms:modified>
</cp:coreProperties>
</file>

<file path=docProps/custom.xml><?xml version="1.0" encoding="utf-8"?>
<Properties xmlns="http://schemas.openxmlformats.org/officeDocument/2006/custom-properties" xmlns:vt="http://schemas.openxmlformats.org/officeDocument/2006/docPropsVTypes"/>
</file>