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jc w:val="center"/>
      </w:pPr>
      <w:r>
        <w:rPr>
          <w:b/>
          <w:bCs/>
          <w:color w:val="1F6FC2"/>
          <w:sz w:val="28"/>
          <w:szCs w:val="28"/>
        </w:rPr>
        <w:t xml:space="preserve">STARK INDUSTRIES INC.</w:t>
      </w:r>
    </w:p>
    <w:p>
      <w:pPr>
        <w:spacing w:after="0" w:before="200"/>
        <w:jc w:val="center"/>
      </w:pPr>
      <w:r>
        <w:rPr>
          <w:b/>
          <w:bCs/>
          <w:color w:val="1A2330"/>
          <w:sz w:val="52"/>
          <w:szCs w:val="52"/>
        </w:rPr>
        <w:t xml:space="preserve">Data Retention &amp; Disposal Policy</w:t>
      </w:r>
    </w:p>
    <w:p>
      <w:pPr>
        <w:spacing w:after="0" w:before="360"/>
        <w:jc w:val="center"/>
      </w:pPr>
      <w:r>
        <w:rPr>
          <w:i/>
          <w:iCs/>
          <w:color w:val="666666"/>
          <w:sz w:val="24"/>
          <w:szCs w:val="24"/>
        </w:rPr>
        <w:t xml:space="preserve">Stark Industries Inc. - ISMS (A.8.10 - A.8.12)</w:t>
      </w:r>
    </w:p>
    <w:p>
      <w:pPr>
        <w:spacing w:after="0" w:before="2400"/>
        <w:jc w:val="center"/>
      </w:pPr>
      <w:r>
        <w:rPr>
          <w:color w:val="666666"/>
          <w:sz w:val="20"/>
          <w:szCs w:val="20"/>
        </w:rPr>
        <w:t xml:space="preserve">Author: Nirmay Soni, Cyber Security GRC Analyst</w:t>
      </w:r>
    </w:p>
    <w:p>
      <w:pPr>
        <w:spacing w:after="0" w:before="100"/>
        <w:jc w:val="center"/>
      </w:pPr>
      <w:r>
        <w:rPr>
          <w:color w:val="666666"/>
          <w:sz w:val="20"/>
          <w:szCs w:val="20"/>
        </w:rPr>
        <w:t xml:space="preserve">Approved by: Happy Hogan, Information Security Manager</w:t>
      </w:r>
    </w:p>
    <w:p>
      <w:r>
        <w:br w:type="page"/>
      </w:r>
    </w:p>
    <w:p>
      <w:pPr>
        <w:pStyle w:val="Heading1"/>
      </w:pPr>
      <w:r>
        <w:t xml:space="preserve">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20"/>
        <w:gridCol w:w="960"/>
        <w:gridCol w:w="1060"/>
        <w:gridCol w:w="1400"/>
        <w:gridCol w:w="1180"/>
        <w:gridCol w:w="1180"/>
        <w:gridCol w:w="1360"/>
        <w:gridCol w:w="1200"/>
      </w:tblGrid>
      <w:tr>
        <w:trPr>
          <w:tblHeader/>
        </w:trPr>
        <w:tc>
          <w:tcPr>
            <w:tcW w:type="dxa" w:w="1020"/>
            <w:tcBorders>
              <w:top w:val="single" w:color="CCCCCC" w:sz="4"/>
              <w:left w:val="single" w:color="CCCCCC" w:sz="4"/>
              <w:bottom w:val="single" w:color="CCCCCC" w:sz="4"/>
              <w:right w:val="single" w:color="CCCCCC" w:sz="4"/>
            </w:tcBorders>
            <w:shd w:fill="1F6FC2" w:color="auto" w:val="clear"/>
            <w:tcMar>
              <w:top w:type="dxa" w:w="80"/>
              <w:left w:type="dxa" w:w="120"/>
              <w:bottom w:type="dxa" w:w="80"/>
              <w:right w:type="dxa" w:w="120"/>
            </w:tcMar>
            <w:vAlign w:val="center"/>
          </w:tcPr>
          <w:p>
            <w:pPr>
              <w:spacing w:after="0" w:line="240"/>
            </w:pPr>
            <w:r>
              <w:rPr>
                <w:b/>
                <w:bCs/>
                <w:i w:val="false"/>
                <w:iCs w:val="false"/>
                <w:color w:val="FFFFFF"/>
                <w:sz w:val="18"/>
                <w:szCs w:val="18"/>
              </w:rPr>
              <w:t xml:space="preserve">Date</w:t>
            </w:r>
          </w:p>
        </w:tc>
        <w:tc>
          <w:tcPr>
            <w:tcW w:type="dxa" w:w="960"/>
            <w:tcBorders>
              <w:top w:val="single" w:color="CCCCCC" w:sz="4"/>
              <w:left w:val="single" w:color="CCCCCC" w:sz="4"/>
              <w:bottom w:val="single" w:color="CCCCCC" w:sz="4"/>
              <w:right w:val="single" w:color="CCCCCC" w:sz="4"/>
            </w:tcBorders>
            <w:shd w:fill="1F6FC2" w:color="auto" w:val="clear"/>
            <w:tcMar>
              <w:top w:type="dxa" w:w="80"/>
              <w:left w:type="dxa" w:w="120"/>
              <w:bottom w:type="dxa" w:w="80"/>
              <w:right w:type="dxa" w:w="120"/>
            </w:tcMar>
            <w:vAlign w:val="center"/>
          </w:tcPr>
          <w:p>
            <w:pPr>
              <w:spacing w:after="0" w:line="240"/>
            </w:pPr>
            <w:r>
              <w:rPr>
                <w:b/>
                <w:bCs/>
                <w:i w:val="false"/>
                <w:iCs w:val="false"/>
                <w:color w:val="FFFFFF"/>
                <w:sz w:val="18"/>
                <w:szCs w:val="18"/>
              </w:rPr>
              <w:t xml:space="preserve">Version</w:t>
            </w:r>
          </w:p>
        </w:tc>
        <w:tc>
          <w:tcPr>
            <w:tcW w:type="dxa" w:w="1060"/>
            <w:tcBorders>
              <w:top w:val="single" w:color="CCCCCC" w:sz="4"/>
              <w:left w:val="single" w:color="CCCCCC" w:sz="4"/>
              <w:bottom w:val="single" w:color="CCCCCC" w:sz="4"/>
              <w:right w:val="single" w:color="CCCCCC" w:sz="4"/>
            </w:tcBorders>
            <w:shd w:fill="1F6FC2" w:color="auto" w:val="clear"/>
            <w:tcMar>
              <w:top w:type="dxa" w:w="80"/>
              <w:left w:type="dxa" w:w="120"/>
              <w:bottom w:type="dxa" w:w="80"/>
              <w:right w:type="dxa" w:w="120"/>
            </w:tcMar>
            <w:vAlign w:val="center"/>
          </w:tcPr>
          <w:p>
            <w:pPr>
              <w:spacing w:after="0" w:line="240"/>
            </w:pPr>
            <w:r>
              <w:rPr>
                <w:b/>
                <w:bCs/>
                <w:i w:val="false"/>
                <w:iCs w:val="false"/>
                <w:color w:val="FFFFFF"/>
                <w:sz w:val="18"/>
                <w:szCs w:val="18"/>
              </w:rPr>
              <w:t xml:space="preserve">Author</w:t>
            </w:r>
          </w:p>
        </w:tc>
        <w:tc>
          <w:tcPr>
            <w:tcW w:type="dxa" w:w="1400"/>
            <w:tcBorders>
              <w:top w:val="single" w:color="CCCCCC" w:sz="4"/>
              <w:left w:val="single" w:color="CCCCCC" w:sz="4"/>
              <w:bottom w:val="single" w:color="CCCCCC" w:sz="4"/>
              <w:right w:val="single" w:color="CCCCCC" w:sz="4"/>
            </w:tcBorders>
            <w:shd w:fill="1F6FC2" w:color="auto" w:val="clear"/>
            <w:tcMar>
              <w:top w:type="dxa" w:w="80"/>
              <w:left w:type="dxa" w:w="120"/>
              <w:bottom w:type="dxa" w:w="80"/>
              <w:right w:type="dxa" w:w="120"/>
            </w:tcMar>
            <w:vAlign w:val="center"/>
          </w:tcPr>
          <w:p>
            <w:pPr>
              <w:spacing w:after="0" w:line="240"/>
            </w:pPr>
            <w:r>
              <w:rPr>
                <w:b/>
                <w:bCs/>
                <w:i w:val="false"/>
                <w:iCs w:val="false"/>
                <w:color w:val="FFFFFF"/>
                <w:sz w:val="18"/>
                <w:szCs w:val="18"/>
              </w:rPr>
              <w:t xml:space="preserve">Description</w:t>
            </w:r>
          </w:p>
        </w:tc>
        <w:tc>
          <w:tcPr>
            <w:tcW w:type="dxa" w:w="1180"/>
            <w:tcBorders>
              <w:top w:val="single" w:color="CCCCCC" w:sz="4"/>
              <w:left w:val="single" w:color="CCCCCC" w:sz="4"/>
              <w:bottom w:val="single" w:color="CCCCCC" w:sz="4"/>
              <w:right w:val="single" w:color="CCCCCC" w:sz="4"/>
            </w:tcBorders>
            <w:shd w:fill="1F6FC2" w:color="auto" w:val="clear"/>
            <w:tcMar>
              <w:top w:type="dxa" w:w="80"/>
              <w:left w:type="dxa" w:w="120"/>
              <w:bottom w:type="dxa" w:w="80"/>
              <w:right w:type="dxa" w:w="120"/>
            </w:tcMar>
            <w:vAlign w:val="center"/>
          </w:tcPr>
          <w:p>
            <w:pPr>
              <w:spacing w:after="0" w:line="240"/>
            </w:pPr>
            <w:r>
              <w:rPr>
                <w:b/>
                <w:bCs/>
                <w:i w:val="false"/>
                <w:iCs w:val="false"/>
                <w:color w:val="FFFFFF"/>
                <w:sz w:val="18"/>
                <w:szCs w:val="18"/>
              </w:rPr>
              <w:t xml:space="preserve">Approved By</w:t>
            </w:r>
          </w:p>
        </w:tc>
        <w:tc>
          <w:tcPr>
            <w:tcW w:type="dxa" w:w="1180"/>
            <w:tcBorders>
              <w:top w:val="single" w:color="CCCCCC" w:sz="4"/>
              <w:left w:val="single" w:color="CCCCCC" w:sz="4"/>
              <w:bottom w:val="single" w:color="CCCCCC" w:sz="4"/>
              <w:right w:val="single" w:color="CCCCCC" w:sz="4"/>
            </w:tcBorders>
            <w:shd w:fill="1F6FC2" w:color="auto" w:val="clear"/>
            <w:tcMar>
              <w:top w:type="dxa" w:w="80"/>
              <w:left w:type="dxa" w:w="120"/>
              <w:bottom w:type="dxa" w:w="80"/>
              <w:right w:type="dxa" w:w="120"/>
            </w:tcMar>
            <w:vAlign w:val="center"/>
          </w:tcPr>
          <w:p>
            <w:pPr>
              <w:spacing w:after="0" w:line="240"/>
            </w:pPr>
            <w:r>
              <w:rPr>
                <w:b/>
                <w:bCs/>
                <w:i w:val="false"/>
                <w:iCs w:val="false"/>
                <w:color w:val="FFFFFF"/>
                <w:sz w:val="18"/>
                <w:szCs w:val="18"/>
              </w:rPr>
              <w:t xml:space="preserve">Last Updated</w:t>
            </w:r>
          </w:p>
        </w:tc>
        <w:tc>
          <w:tcPr>
            <w:tcW w:type="dxa" w:w="1360"/>
            <w:tcBorders>
              <w:top w:val="single" w:color="CCCCCC" w:sz="4"/>
              <w:left w:val="single" w:color="CCCCCC" w:sz="4"/>
              <w:bottom w:val="single" w:color="CCCCCC" w:sz="4"/>
              <w:right w:val="single" w:color="CCCCCC" w:sz="4"/>
            </w:tcBorders>
            <w:shd w:fill="1F6FC2" w:color="auto" w:val="clear"/>
            <w:tcMar>
              <w:top w:type="dxa" w:w="80"/>
              <w:left w:type="dxa" w:w="120"/>
              <w:bottom w:type="dxa" w:w="80"/>
              <w:right w:type="dxa" w:w="120"/>
            </w:tcMar>
            <w:vAlign w:val="center"/>
          </w:tcPr>
          <w:p>
            <w:pPr>
              <w:spacing w:after="0" w:line="240"/>
            </w:pPr>
            <w:r>
              <w:rPr>
                <w:b/>
                <w:bCs/>
                <w:i w:val="false"/>
                <w:iCs w:val="false"/>
                <w:color w:val="FFFFFF"/>
                <w:sz w:val="18"/>
                <w:szCs w:val="18"/>
              </w:rPr>
              <w:t xml:space="preserve">Review Frequency</w:t>
            </w:r>
          </w:p>
        </w:tc>
        <w:tc>
          <w:tcPr>
            <w:tcW w:type="dxa" w:w="1200"/>
            <w:tcBorders>
              <w:top w:val="single" w:color="CCCCCC" w:sz="4"/>
              <w:left w:val="single" w:color="CCCCCC" w:sz="4"/>
              <w:bottom w:val="single" w:color="CCCCCC" w:sz="4"/>
              <w:right w:val="single" w:color="CCCCCC" w:sz="4"/>
            </w:tcBorders>
            <w:shd w:fill="1F6FC2" w:color="auto" w:val="clear"/>
            <w:tcMar>
              <w:top w:type="dxa" w:w="80"/>
              <w:left w:type="dxa" w:w="120"/>
              <w:bottom w:type="dxa" w:w="80"/>
              <w:right w:type="dxa" w:w="120"/>
            </w:tcMar>
            <w:vAlign w:val="center"/>
          </w:tcPr>
          <w:p>
            <w:pPr>
              <w:spacing w:after="0" w:line="240"/>
            </w:pPr>
            <w:r>
              <w:rPr>
                <w:b/>
                <w:bCs/>
                <w:i w:val="false"/>
                <w:iCs w:val="false"/>
                <w:color w:val="FFFFFF"/>
                <w:sz w:val="18"/>
                <w:szCs w:val="18"/>
              </w:rPr>
              <w:t xml:space="preserve">Next Review</w:t>
            </w:r>
          </w:p>
        </w:tc>
      </w:tr>
      <w:tr>
        <w:tc>
          <w:tcPr>
            <w:tcW w:type="dxa" w:w="102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0" w:line="240"/>
            </w:pPr>
            <w:r>
              <w:rPr>
                <w:b w:val="false"/>
                <w:bCs w:val="false"/>
                <w:i w:val="false"/>
                <w:iCs w:val="false"/>
                <w:color w:val="1A2330"/>
                <w:sz w:val="18"/>
                <w:szCs w:val="18"/>
              </w:rPr>
              <w:t xml:space="preserve">15 Jan 2026</w:t>
            </w:r>
          </w:p>
        </w:tc>
        <w:tc>
          <w:tcPr>
            <w:tcW w:type="dxa" w:w="9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0" w:line="240"/>
            </w:pPr>
            <w:r>
              <w:rPr>
                <w:b w:val="false"/>
                <w:bCs w:val="false"/>
                <w:i w:val="false"/>
                <w:iCs w:val="false"/>
                <w:color w:val="1A2330"/>
                <w:sz w:val="18"/>
                <w:szCs w:val="18"/>
              </w:rPr>
              <w:t xml:space="preserve">1.0</w:t>
            </w:r>
          </w:p>
        </w:tc>
        <w:tc>
          <w:tcPr>
            <w:tcW w:type="dxa" w:w="10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0" w:line="240"/>
            </w:pPr>
            <w:r>
              <w:rPr>
                <w:b w:val="false"/>
                <w:bCs w:val="false"/>
                <w:i w:val="false"/>
                <w:iCs w:val="false"/>
                <w:color w:val="1A2330"/>
                <w:sz w:val="18"/>
                <w:szCs w:val="18"/>
              </w:rPr>
              <w:t xml:space="preserve">Nirmay Soni</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0" w:line="240"/>
            </w:pPr>
            <w:r>
              <w:rPr>
                <w:b w:val="false"/>
                <w:bCs w:val="false"/>
                <w:i w:val="false"/>
                <w:iCs w:val="false"/>
                <w:color w:val="1A2330"/>
                <w:sz w:val="18"/>
                <w:szCs w:val="18"/>
              </w:rPr>
              <w:t xml:space="preserve">Initial issue</w:t>
            </w:r>
          </w:p>
        </w:tc>
        <w:tc>
          <w:tcPr>
            <w:tcW w:type="dxa" w:w="118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0" w:line="240"/>
            </w:pPr>
            <w:r>
              <w:rPr>
                <w:b w:val="false"/>
                <w:bCs w:val="false"/>
                <w:i w:val="false"/>
                <w:iCs w:val="false"/>
                <w:color w:val="1A2330"/>
                <w:sz w:val="18"/>
                <w:szCs w:val="18"/>
              </w:rPr>
              <w:t xml:space="preserve">Happy Hogan</w:t>
            </w:r>
          </w:p>
        </w:tc>
        <w:tc>
          <w:tcPr>
            <w:tcW w:type="dxa" w:w="118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0" w:line="240"/>
            </w:pPr>
            <w:r>
              <w:rPr>
                <w:b w:val="false"/>
                <w:bCs w:val="false"/>
                <w:i w:val="false"/>
                <w:iCs w:val="false"/>
                <w:color w:val="1A2330"/>
                <w:sz w:val="18"/>
                <w:szCs w:val="18"/>
              </w:rPr>
              <w:t xml:space="preserve">15 Jan 2026</w:t>
            </w:r>
          </w:p>
        </w:tc>
        <w:tc>
          <w:tcPr>
            <w:tcW w:type="dxa" w:w="13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0" w:line="240"/>
            </w:pPr>
            <w:r>
              <w:rPr>
                <w:b w:val="false"/>
                <w:bCs w:val="false"/>
                <w:i w:val="false"/>
                <w:iCs w:val="false"/>
                <w:color w:val="1A2330"/>
                <w:sz w:val="18"/>
                <w:szCs w:val="18"/>
              </w:rPr>
              <w:t xml:space="preserve">Annual</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0" w:line="240"/>
            </w:pPr>
            <w:r>
              <w:rPr>
                <w:b w:val="false"/>
                <w:bCs w:val="false"/>
                <w:i w:val="false"/>
                <w:iCs w:val="false"/>
                <w:color w:val="1A2330"/>
                <w:sz w:val="18"/>
                <w:szCs w:val="18"/>
              </w:rPr>
              <w:t xml:space="preserve">Jan 2027</w:t>
            </w:r>
          </w:p>
        </w:tc>
      </w:tr>
    </w:tbl>
    <w:p>
      <w:pPr>
        <w:pStyle w:val="Heading1"/>
      </w:pPr>
      <w:r>
        <w:t xml:space="preserve">Purpose</w:t>
      </w:r>
    </w:p>
    <w:p>
      <w:pPr>
        <w:spacing w:after="160" w:line="276"/>
        <w:jc w:val="both"/>
      </w:pPr>
      <w:r>
        <w:rPr>
          <w:b w:val="false"/>
          <w:bCs w:val="false"/>
          <w:i w:val="false"/>
          <w:iCs w:val="false"/>
          <w:color w:val="1A2330"/>
          <w:sz w:val="22"/>
          <w:szCs w:val="22"/>
        </w:rPr>
        <w:t xml:space="preserve">This policy ensures that Stark Industries Inc. retains information only as long as necessary for business, legal, or contractual purposes and that all data is securely and permanently disposed of at the end of its lifecycle. This policy is aligned with ISO/IEC 27001:2022 (A.8.10 - A.8.12).</w:t>
      </w:r>
    </w:p>
    <w:p>
      <w:pPr>
        <w:pStyle w:val="Heading1"/>
      </w:pPr>
      <w:r>
        <w:t xml:space="preserve">Scope</w:t>
      </w:r>
    </w:p>
    <w:p>
      <w:pPr>
        <w:spacing w:after="160" w:line="276"/>
        <w:jc w:val="both"/>
      </w:pPr>
      <w:r>
        <w:rPr>
          <w:b w:val="false"/>
          <w:bCs w:val="false"/>
          <w:i w:val="false"/>
          <w:iCs w:val="false"/>
          <w:color w:val="1A2330"/>
          <w:sz w:val="22"/>
          <w:szCs w:val="22"/>
        </w:rPr>
        <w:t xml:space="preserve">Applies to all forms of data (digital and physical) handled by Stark Industries Inc. across systems, cloud environments (AWS), developer tools, backups, and employee devices. It includes operational data, logs, code, and any sensitive information processed by or for the company.</w:t>
      </w:r>
    </w:p>
    <w:p>
      <w:pPr>
        <w:pStyle w:val="Heading1"/>
      </w:pPr>
      <w:r>
        <w:t xml:space="preserve">Policy Objectives</w:t>
      </w:r>
    </w:p>
    <w:p>
      <w:pPr>
        <w:pStyle w:val="ListParagraph"/>
        <w:numPr>
          <w:ilvl w:val="0"/>
          <w:numId w:val="2"/>
        </w:numPr>
        <w:spacing w:after="60" w:line="276"/>
      </w:pPr>
      <w:r>
        <w:rPr>
          <w:b w:val="false"/>
          <w:bCs w:val="false"/>
          <w:i w:val="false"/>
          <w:iCs w:val="false"/>
          <w:color w:val="1A2330"/>
          <w:sz w:val="22"/>
          <w:szCs w:val="22"/>
        </w:rPr>
        <w:t xml:space="preserve">Ensure data is retained in line with legal and business requirements</w:t>
      </w:r>
    </w:p>
    <w:p>
      <w:pPr>
        <w:pStyle w:val="ListParagraph"/>
        <w:numPr>
          <w:ilvl w:val="0"/>
          <w:numId w:val="2"/>
        </w:numPr>
        <w:spacing w:after="60" w:line="276"/>
      </w:pPr>
      <w:r>
        <w:rPr>
          <w:b w:val="false"/>
          <w:bCs w:val="false"/>
          <w:i w:val="false"/>
          <w:iCs w:val="false"/>
          <w:color w:val="1A2330"/>
          <w:sz w:val="22"/>
          <w:szCs w:val="22"/>
        </w:rPr>
        <w:t xml:space="preserve">Prevent unauthorised access to obsolete or unused data</w:t>
      </w:r>
    </w:p>
    <w:p>
      <w:pPr>
        <w:pStyle w:val="ListParagraph"/>
        <w:numPr>
          <w:ilvl w:val="0"/>
          <w:numId w:val="2"/>
        </w:numPr>
        <w:spacing w:after="60" w:line="276"/>
      </w:pPr>
      <w:r>
        <w:rPr>
          <w:b w:val="false"/>
          <w:bCs w:val="false"/>
          <w:i w:val="false"/>
          <w:iCs w:val="false"/>
          <w:color w:val="1A2330"/>
          <w:sz w:val="22"/>
          <w:szCs w:val="22"/>
        </w:rPr>
        <w:t xml:space="preserve">Ensure secure deletion and disposal of all data and media</w:t>
      </w:r>
    </w:p>
    <w:p>
      <w:pPr>
        <w:pStyle w:val="Heading1"/>
      </w:pPr>
      <w:r>
        <w:t xml:space="preserve">Data Retention Policy (A.8.11)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2200"/>
        <w:gridCol w:w="4460"/>
      </w:tblGrid>
      <w:tr>
        <w:trPr>
          <w:tblHeader/>
        </w:trPr>
        <w:tc>
          <w:tcPr>
            <w:tcW w:type="dxa" w:w="2700"/>
            <w:tcBorders>
              <w:top w:val="single" w:color="CCCCCC" w:sz="4"/>
              <w:left w:val="single" w:color="CCCCCC" w:sz="4"/>
              <w:bottom w:val="single" w:color="CCCCCC" w:sz="4"/>
              <w:right w:val="single" w:color="CCCCCC" w:sz="4"/>
            </w:tcBorders>
            <w:shd w:fill="1F6FC2" w:color="auto" w:val="clear"/>
            <w:tcMar>
              <w:top w:type="dxa" w:w="80"/>
              <w:left w:type="dxa" w:w="120"/>
              <w:bottom w:type="dxa" w:w="80"/>
              <w:right w:type="dxa" w:w="120"/>
            </w:tcMar>
            <w:vAlign w:val="center"/>
          </w:tcPr>
          <w:p>
            <w:pPr>
              <w:spacing w:after="0" w:line="240"/>
            </w:pPr>
            <w:r>
              <w:rPr>
                <w:b/>
                <w:bCs/>
                <w:i w:val="false"/>
                <w:iCs w:val="false"/>
                <w:color w:val="FFFFFF"/>
                <w:sz w:val="18"/>
                <w:szCs w:val="18"/>
              </w:rPr>
              <w:t xml:space="preserve">Data Type</w:t>
            </w:r>
          </w:p>
        </w:tc>
        <w:tc>
          <w:tcPr>
            <w:tcW w:type="dxa" w:w="2200"/>
            <w:tcBorders>
              <w:top w:val="single" w:color="CCCCCC" w:sz="4"/>
              <w:left w:val="single" w:color="CCCCCC" w:sz="4"/>
              <w:bottom w:val="single" w:color="CCCCCC" w:sz="4"/>
              <w:right w:val="single" w:color="CCCCCC" w:sz="4"/>
            </w:tcBorders>
            <w:shd w:fill="1F6FC2" w:color="auto" w:val="clear"/>
            <w:tcMar>
              <w:top w:type="dxa" w:w="80"/>
              <w:left w:type="dxa" w:w="120"/>
              <w:bottom w:type="dxa" w:w="80"/>
              <w:right w:type="dxa" w:w="120"/>
            </w:tcMar>
            <w:vAlign w:val="center"/>
          </w:tcPr>
          <w:p>
            <w:pPr>
              <w:spacing w:after="0" w:line="240"/>
            </w:pPr>
            <w:r>
              <w:rPr>
                <w:b/>
                <w:bCs/>
                <w:i w:val="false"/>
                <w:iCs w:val="false"/>
                <w:color w:val="FFFFFF"/>
                <w:sz w:val="18"/>
                <w:szCs w:val="18"/>
              </w:rPr>
              <w:t xml:space="preserve">Retention Period</w:t>
            </w:r>
          </w:p>
        </w:tc>
        <w:tc>
          <w:tcPr>
            <w:tcW w:type="dxa" w:w="4460"/>
            <w:tcBorders>
              <w:top w:val="single" w:color="CCCCCC" w:sz="4"/>
              <w:left w:val="single" w:color="CCCCCC" w:sz="4"/>
              <w:bottom w:val="single" w:color="CCCCCC" w:sz="4"/>
              <w:right w:val="single" w:color="CCCCCC" w:sz="4"/>
            </w:tcBorders>
            <w:shd w:fill="1F6FC2" w:color="auto" w:val="clear"/>
            <w:tcMar>
              <w:top w:type="dxa" w:w="80"/>
              <w:left w:type="dxa" w:w="120"/>
              <w:bottom w:type="dxa" w:w="80"/>
              <w:right w:type="dxa" w:w="120"/>
            </w:tcMar>
            <w:vAlign w:val="center"/>
          </w:tcPr>
          <w:p>
            <w:pPr>
              <w:spacing w:after="0" w:line="240"/>
            </w:pPr>
            <w:r>
              <w:rPr>
                <w:b/>
                <w:bCs/>
                <w:i w:val="false"/>
                <w:iCs w:val="false"/>
                <w:color w:val="FFFFFF"/>
                <w:sz w:val="18"/>
                <w:szCs w:val="18"/>
              </w:rPr>
              <w:t xml:space="preserve">Rationale</w:t>
            </w:r>
          </w:p>
        </w:tc>
      </w:tr>
      <w:tr>
        <w:tc>
          <w:tcPr>
            <w:tcW w:type="dxa" w:w="27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0" w:line="240"/>
            </w:pPr>
            <w:r>
              <w:rPr>
                <w:b/>
                <w:bCs/>
                <w:i w:val="false"/>
                <w:iCs w:val="false"/>
                <w:color w:val="1A2330"/>
                <w:sz w:val="18"/>
                <w:szCs w:val="18"/>
              </w:rPr>
              <w:t xml:space="preserve">Source Code</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0" w:line="240"/>
            </w:pPr>
            <w:r>
              <w:rPr>
                <w:b w:val="false"/>
                <w:bCs w:val="false"/>
                <w:i w:val="false"/>
                <w:iCs w:val="false"/>
                <w:color w:val="1A2330"/>
                <w:sz w:val="18"/>
                <w:szCs w:val="18"/>
              </w:rPr>
              <w:t xml:space="preserve">Indefinite</w:t>
            </w:r>
          </w:p>
        </w:tc>
        <w:tc>
          <w:tcPr>
            <w:tcW w:type="dxa" w:w="44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0" w:line="240"/>
            </w:pPr>
            <w:r>
              <w:rPr>
                <w:b w:val="false"/>
                <w:bCs w:val="false"/>
                <w:i w:val="false"/>
                <w:iCs w:val="false"/>
                <w:color w:val="1A2330"/>
                <w:sz w:val="18"/>
                <w:szCs w:val="18"/>
              </w:rPr>
              <w:t xml:space="preserve">Business continuity and development history</w:t>
            </w:r>
          </w:p>
        </w:tc>
      </w:tr>
      <w:tr>
        <w:tc>
          <w:tcPr>
            <w:tcW w:type="dxa" w:w="270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vAlign w:val="center"/>
          </w:tcPr>
          <w:p>
            <w:pPr>
              <w:spacing w:after="0" w:line="240"/>
            </w:pPr>
            <w:r>
              <w:rPr>
                <w:b/>
                <w:bCs/>
                <w:i w:val="false"/>
                <w:iCs w:val="false"/>
                <w:color w:val="1A2330"/>
                <w:sz w:val="18"/>
                <w:szCs w:val="18"/>
              </w:rPr>
              <w:t xml:space="preserve">Logs (application, access)</w:t>
            </w:r>
          </w:p>
        </w:tc>
        <w:tc>
          <w:tcPr>
            <w:tcW w:type="dxa" w:w="220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vAlign w:val="center"/>
          </w:tcPr>
          <w:p>
            <w:pPr>
              <w:spacing w:after="0" w:line="240"/>
            </w:pPr>
            <w:r>
              <w:rPr>
                <w:b w:val="false"/>
                <w:bCs w:val="false"/>
                <w:i w:val="false"/>
                <w:iCs w:val="false"/>
                <w:color w:val="1A2330"/>
                <w:sz w:val="18"/>
                <w:szCs w:val="18"/>
              </w:rPr>
              <w:t xml:space="preserve">12 months</w:t>
            </w:r>
          </w:p>
        </w:tc>
        <w:tc>
          <w:tcPr>
            <w:tcW w:type="dxa" w:w="446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vAlign w:val="center"/>
          </w:tcPr>
          <w:p>
            <w:pPr>
              <w:spacing w:after="0" w:line="240"/>
            </w:pPr>
            <w:r>
              <w:rPr>
                <w:b w:val="false"/>
                <w:bCs w:val="false"/>
                <w:i w:val="false"/>
                <w:iCs w:val="false"/>
                <w:color w:val="1A2330"/>
                <w:sz w:val="18"/>
                <w:szCs w:val="18"/>
              </w:rPr>
              <w:t xml:space="preserve">Incident investigation and compliance</w:t>
            </w:r>
          </w:p>
        </w:tc>
      </w:tr>
      <w:tr>
        <w:tc>
          <w:tcPr>
            <w:tcW w:type="dxa" w:w="27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0" w:line="240"/>
            </w:pPr>
            <w:r>
              <w:rPr>
                <w:b/>
                <w:bCs/>
                <w:i w:val="false"/>
                <w:iCs w:val="false"/>
                <w:color w:val="1A2330"/>
                <w:sz w:val="18"/>
                <w:szCs w:val="18"/>
              </w:rPr>
              <w:t xml:space="preserve">CI/CD Deployment Records</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0" w:line="240"/>
            </w:pPr>
            <w:r>
              <w:rPr>
                <w:b w:val="false"/>
                <w:bCs w:val="false"/>
                <w:i w:val="false"/>
                <w:iCs w:val="false"/>
                <w:color w:val="1A2330"/>
                <w:sz w:val="18"/>
                <w:szCs w:val="18"/>
              </w:rPr>
              <w:t xml:space="preserve">12 months</w:t>
            </w:r>
          </w:p>
        </w:tc>
        <w:tc>
          <w:tcPr>
            <w:tcW w:type="dxa" w:w="44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0" w:line="240"/>
            </w:pPr>
            <w:r>
              <w:rPr>
                <w:b w:val="false"/>
                <w:bCs w:val="false"/>
                <w:i w:val="false"/>
                <w:iCs w:val="false"/>
                <w:color w:val="1A2330"/>
                <w:sz w:val="18"/>
                <w:szCs w:val="18"/>
              </w:rPr>
              <w:t xml:space="preserve">Audit trails and troubleshooting</w:t>
            </w:r>
          </w:p>
        </w:tc>
      </w:tr>
      <w:tr>
        <w:tc>
          <w:tcPr>
            <w:tcW w:type="dxa" w:w="270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vAlign w:val="center"/>
          </w:tcPr>
          <w:p>
            <w:pPr>
              <w:spacing w:after="0" w:line="240"/>
            </w:pPr>
            <w:r>
              <w:rPr>
                <w:b/>
                <w:bCs/>
                <w:i w:val="false"/>
                <w:iCs w:val="false"/>
                <w:color w:val="1A2330"/>
                <w:sz w:val="18"/>
                <w:szCs w:val="18"/>
              </w:rPr>
              <w:t xml:space="preserve">Employee Records</w:t>
            </w:r>
          </w:p>
        </w:tc>
        <w:tc>
          <w:tcPr>
            <w:tcW w:type="dxa" w:w="220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vAlign w:val="center"/>
          </w:tcPr>
          <w:p>
            <w:pPr>
              <w:spacing w:after="0" w:line="240"/>
            </w:pPr>
            <w:r>
              <w:rPr>
                <w:b w:val="false"/>
                <w:bCs w:val="false"/>
                <w:i w:val="false"/>
                <w:iCs w:val="false"/>
                <w:color w:val="1A2330"/>
                <w:sz w:val="18"/>
                <w:szCs w:val="18"/>
              </w:rPr>
              <w:t xml:space="preserve">7 years</w:t>
            </w:r>
          </w:p>
        </w:tc>
        <w:tc>
          <w:tcPr>
            <w:tcW w:type="dxa" w:w="446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vAlign w:val="center"/>
          </w:tcPr>
          <w:p>
            <w:pPr>
              <w:spacing w:after="0" w:line="240"/>
            </w:pPr>
            <w:r>
              <w:rPr>
                <w:b w:val="false"/>
                <w:bCs w:val="false"/>
                <w:i w:val="false"/>
                <w:iCs w:val="false"/>
                <w:color w:val="1A2330"/>
                <w:sz w:val="18"/>
                <w:szCs w:val="18"/>
              </w:rPr>
              <w:t xml:space="preserve">Legal retention requirement (HR)</w:t>
            </w:r>
          </w:p>
        </w:tc>
      </w:tr>
      <w:tr>
        <w:tc>
          <w:tcPr>
            <w:tcW w:type="dxa" w:w="27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0" w:line="240"/>
            </w:pPr>
            <w:r>
              <w:rPr>
                <w:b/>
                <w:bCs/>
                <w:i w:val="false"/>
                <w:iCs w:val="false"/>
                <w:color w:val="1A2330"/>
                <w:sz w:val="18"/>
                <w:szCs w:val="18"/>
              </w:rPr>
              <w:t xml:space="preserve">Vendor Contracts &amp; NDAs</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0" w:line="240"/>
            </w:pPr>
            <w:r>
              <w:rPr>
                <w:b w:val="false"/>
                <w:bCs w:val="false"/>
                <w:i w:val="false"/>
                <w:iCs w:val="false"/>
                <w:color w:val="1A2330"/>
                <w:sz w:val="18"/>
                <w:szCs w:val="18"/>
              </w:rPr>
              <w:t xml:space="preserve">7 years post-expiry</w:t>
            </w:r>
          </w:p>
        </w:tc>
        <w:tc>
          <w:tcPr>
            <w:tcW w:type="dxa" w:w="44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0" w:line="240"/>
            </w:pPr>
            <w:r>
              <w:rPr>
                <w:b w:val="false"/>
                <w:bCs w:val="false"/>
                <w:i w:val="false"/>
                <w:iCs w:val="false"/>
                <w:color w:val="1A2330"/>
                <w:sz w:val="18"/>
                <w:szCs w:val="18"/>
              </w:rPr>
              <w:t xml:space="preserve">Legal and business continuity</w:t>
            </w:r>
          </w:p>
        </w:tc>
      </w:tr>
      <w:tr>
        <w:tc>
          <w:tcPr>
            <w:tcW w:type="dxa" w:w="270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vAlign w:val="center"/>
          </w:tcPr>
          <w:p>
            <w:pPr>
              <w:spacing w:after="0" w:line="240"/>
            </w:pPr>
            <w:r>
              <w:rPr>
                <w:b/>
                <w:bCs/>
                <w:i w:val="false"/>
                <w:iCs w:val="false"/>
                <w:color w:val="1A2330"/>
                <w:sz w:val="18"/>
                <w:szCs w:val="18"/>
              </w:rPr>
              <w:t xml:space="preserve">Backup Data</w:t>
            </w:r>
          </w:p>
        </w:tc>
        <w:tc>
          <w:tcPr>
            <w:tcW w:type="dxa" w:w="220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vAlign w:val="center"/>
          </w:tcPr>
          <w:p>
            <w:pPr>
              <w:spacing w:after="0" w:line="240"/>
            </w:pPr>
            <w:r>
              <w:rPr>
                <w:b w:val="false"/>
                <w:bCs w:val="false"/>
                <w:i w:val="false"/>
                <w:iCs w:val="false"/>
                <w:color w:val="1A2330"/>
                <w:sz w:val="18"/>
                <w:szCs w:val="18"/>
              </w:rPr>
              <w:t xml:space="preserve">90 days rolling</w:t>
            </w:r>
          </w:p>
        </w:tc>
        <w:tc>
          <w:tcPr>
            <w:tcW w:type="dxa" w:w="446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vAlign w:val="center"/>
          </w:tcPr>
          <w:p>
            <w:pPr>
              <w:spacing w:after="0" w:line="240"/>
            </w:pPr>
            <w:r>
              <w:rPr>
                <w:b w:val="false"/>
                <w:bCs w:val="false"/>
                <w:i w:val="false"/>
                <w:iCs w:val="false"/>
                <w:color w:val="1A2330"/>
                <w:sz w:val="18"/>
                <w:szCs w:val="18"/>
              </w:rPr>
              <w:t xml:space="preserve">Recovery from system failure or corruption</w:t>
            </w:r>
          </w:p>
        </w:tc>
      </w:tr>
      <w:tr>
        <w:tc>
          <w:tcPr>
            <w:tcW w:type="dxa" w:w="27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0" w:line="240"/>
            </w:pPr>
            <w:r>
              <w:rPr>
                <w:b/>
                <w:bCs/>
                <w:i w:val="false"/>
                <w:iCs w:val="false"/>
                <w:color w:val="1A2330"/>
                <w:sz w:val="18"/>
                <w:szCs w:val="18"/>
              </w:rPr>
              <w:t xml:space="preserve">Security Incident Records</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0" w:line="240"/>
            </w:pPr>
            <w:r>
              <w:rPr>
                <w:b w:val="false"/>
                <w:bCs w:val="false"/>
                <w:i w:val="false"/>
                <w:iCs w:val="false"/>
                <w:color w:val="1A2330"/>
                <w:sz w:val="18"/>
                <w:szCs w:val="18"/>
              </w:rPr>
              <w:t xml:space="preserve">3 years</w:t>
            </w:r>
          </w:p>
        </w:tc>
        <w:tc>
          <w:tcPr>
            <w:tcW w:type="dxa" w:w="44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0" w:line="240"/>
            </w:pPr>
            <w:r>
              <w:rPr>
                <w:b w:val="false"/>
                <w:bCs w:val="false"/>
                <w:i w:val="false"/>
                <w:iCs w:val="false"/>
                <w:color w:val="1A2330"/>
                <w:sz w:val="18"/>
                <w:szCs w:val="18"/>
              </w:rPr>
              <w:t xml:space="preserve">Compliance and audit readiness</w:t>
            </w:r>
          </w:p>
        </w:tc>
      </w:tr>
      <w:tr>
        <w:tc>
          <w:tcPr>
            <w:tcW w:type="dxa" w:w="270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vAlign w:val="center"/>
          </w:tcPr>
          <w:p>
            <w:pPr>
              <w:spacing w:after="0" w:line="240"/>
            </w:pPr>
            <w:r>
              <w:rPr>
                <w:b/>
                <w:bCs/>
                <w:i w:val="false"/>
                <w:iCs w:val="false"/>
                <w:color w:val="1A2330"/>
                <w:sz w:val="18"/>
                <w:szCs w:val="18"/>
              </w:rPr>
              <w:t xml:space="preserve">Customer Support Data</w:t>
            </w:r>
          </w:p>
        </w:tc>
        <w:tc>
          <w:tcPr>
            <w:tcW w:type="dxa" w:w="220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vAlign w:val="center"/>
          </w:tcPr>
          <w:p>
            <w:pPr>
              <w:spacing w:after="0" w:line="240"/>
            </w:pPr>
            <w:r>
              <w:rPr>
                <w:b w:val="false"/>
                <w:bCs w:val="false"/>
                <w:i w:val="false"/>
                <w:iCs w:val="false"/>
                <w:color w:val="1A2330"/>
                <w:sz w:val="18"/>
                <w:szCs w:val="18"/>
              </w:rPr>
              <w:t xml:space="preserve">24 months</w:t>
            </w:r>
          </w:p>
        </w:tc>
        <w:tc>
          <w:tcPr>
            <w:tcW w:type="dxa" w:w="446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vAlign w:val="center"/>
          </w:tcPr>
          <w:p>
            <w:pPr>
              <w:spacing w:after="0" w:line="240"/>
            </w:pPr>
            <w:r>
              <w:rPr>
                <w:b w:val="false"/>
                <w:bCs w:val="false"/>
                <w:i w:val="false"/>
                <w:iCs w:val="false"/>
                <w:color w:val="1A2330"/>
                <w:sz w:val="18"/>
                <w:szCs w:val="18"/>
              </w:rPr>
              <w:t xml:space="preserve">Service quality assurance</w:t>
            </w:r>
          </w:p>
        </w:tc>
      </w:tr>
    </w:tbl>
    <w:p>
      <w:pPr>
        <w:pStyle w:val="Heading1"/>
      </w:pPr>
      <w:r>
        <w:t xml:space="preserve">Data Disposal &amp; Deletion (A.8.10, A.8.12)</w:t>
      </w:r>
    </w:p>
    <w:p>
      <w:pPr>
        <w:pStyle w:val="ListParagraph"/>
        <w:numPr>
          <w:ilvl w:val="0"/>
          <w:numId w:val="3"/>
        </w:numPr>
        <w:spacing w:after="60" w:line="276"/>
      </w:pPr>
      <w:r>
        <w:rPr>
          <w:b w:val="false"/>
          <w:bCs w:val="false"/>
          <w:i w:val="false"/>
          <w:iCs w:val="false"/>
          <w:color w:val="1A2330"/>
          <w:sz w:val="22"/>
          <w:szCs w:val="22"/>
        </w:rPr>
        <w:t xml:space="preserve">Digital Media</w:t>
      </w:r>
    </w:p>
    <w:p>
      <w:pPr>
        <w:pStyle w:val="ListParagraph"/>
        <w:numPr>
          <w:ilvl w:val="1"/>
          <w:numId w:val="3"/>
        </w:numPr>
        <w:spacing w:after="60" w:line="276"/>
      </w:pPr>
      <w:r>
        <w:rPr>
          <w:b w:val="false"/>
          <w:bCs w:val="false"/>
          <w:i w:val="false"/>
          <w:iCs w:val="false"/>
          <w:color w:val="1A2330"/>
          <w:sz w:val="22"/>
          <w:szCs w:val="22"/>
        </w:rPr>
        <w:t xml:space="preserve">Data must be deleted using </w:t>
      </w:r>
      <w:r>
        <w:rPr>
          <w:b/>
          <w:bCs/>
          <w:i w:val="false"/>
          <w:iCs w:val="false"/>
          <w:color w:val="1A2330"/>
          <w:sz w:val="22"/>
          <w:szCs w:val="22"/>
        </w:rPr>
        <w:t xml:space="preserve">secure deletion methods</w:t>
      </w:r>
      <w:r>
        <w:rPr>
          <w:b w:val="false"/>
          <w:bCs w:val="false"/>
          <w:i w:val="false"/>
          <w:iCs w:val="false"/>
          <w:color w:val="1A2330"/>
          <w:sz w:val="22"/>
          <w:szCs w:val="22"/>
        </w:rPr>
        <w:t xml:space="preserve"> (e.g. cryptographic wipe, overwrite) before reuse or disposal.</w:t>
      </w:r>
    </w:p>
    <w:p>
      <w:pPr>
        <w:pStyle w:val="ListParagraph"/>
        <w:numPr>
          <w:ilvl w:val="1"/>
          <w:numId w:val="3"/>
        </w:numPr>
        <w:spacing w:after="60" w:line="276"/>
      </w:pPr>
      <w:r>
        <w:rPr>
          <w:b w:val="false"/>
          <w:bCs w:val="false"/>
          <w:i w:val="false"/>
          <w:iCs w:val="false"/>
          <w:color w:val="1A2330"/>
          <w:sz w:val="22"/>
          <w:szCs w:val="22"/>
        </w:rPr>
        <w:t xml:space="preserve">All cloud storage (e.g. S3, EBS, RDS) must be purged using </w:t>
      </w:r>
      <w:r>
        <w:rPr>
          <w:b/>
          <w:bCs/>
          <w:i w:val="false"/>
          <w:iCs w:val="false"/>
          <w:color w:val="1A2330"/>
          <w:sz w:val="22"/>
          <w:szCs w:val="22"/>
        </w:rPr>
        <w:t xml:space="preserve">provider-supported secure delete options</w:t>
      </w:r>
      <w:r>
        <w:rPr>
          <w:b w:val="false"/>
          <w:bCs w:val="false"/>
          <w:i w:val="false"/>
          <w:iCs w:val="false"/>
          <w:color w:val="1A2330"/>
          <w:sz w:val="22"/>
          <w:szCs w:val="22"/>
        </w:rPr>
        <w:t xml:space="preserve">.</w:t>
      </w:r>
    </w:p>
    <w:p>
      <w:pPr>
        <w:pStyle w:val="ListParagraph"/>
        <w:numPr>
          <w:ilvl w:val="1"/>
          <w:numId w:val="3"/>
        </w:numPr>
        <w:spacing w:after="60" w:line="276"/>
      </w:pPr>
      <w:r>
        <w:rPr>
          <w:b w:val="false"/>
          <w:bCs w:val="false"/>
          <w:i w:val="false"/>
          <w:iCs w:val="false"/>
          <w:color w:val="1A2330"/>
          <w:sz w:val="22"/>
          <w:szCs w:val="22"/>
        </w:rPr>
        <w:t xml:space="preserve">Backup snapshots are deleted automatically after 90 days via retention policy.</w:t>
      </w:r>
    </w:p>
    <w:p>
      <w:pPr>
        <w:pStyle w:val="ListParagraph"/>
        <w:numPr>
          <w:ilvl w:val="0"/>
          <w:numId w:val="3"/>
        </w:numPr>
        <w:spacing w:after="60" w:line="276"/>
      </w:pPr>
      <w:r>
        <w:rPr>
          <w:b w:val="false"/>
          <w:bCs w:val="false"/>
          <w:i w:val="false"/>
          <w:iCs w:val="false"/>
          <w:color w:val="1A2330"/>
          <w:sz w:val="22"/>
          <w:szCs w:val="22"/>
        </w:rPr>
        <w:t xml:space="preserve">Physical Media</w:t>
      </w:r>
    </w:p>
    <w:p>
      <w:pPr>
        <w:pStyle w:val="ListParagraph"/>
        <w:numPr>
          <w:ilvl w:val="1"/>
          <w:numId w:val="3"/>
        </w:numPr>
        <w:spacing w:after="60" w:line="276"/>
      </w:pPr>
      <w:r>
        <w:rPr>
          <w:b w:val="false"/>
          <w:bCs w:val="false"/>
          <w:i w:val="false"/>
          <w:iCs w:val="false"/>
          <w:color w:val="1A2330"/>
          <w:sz w:val="22"/>
          <w:szCs w:val="22"/>
        </w:rPr>
        <w:t xml:space="preserve">Any physical media (e.g. external drives, printed reports) must be:</w:t>
      </w:r>
    </w:p>
    <w:p>
      <w:pPr>
        <w:pStyle w:val="ListParagraph"/>
        <w:numPr>
          <w:ilvl w:val="2"/>
          <w:numId w:val="3"/>
        </w:numPr>
        <w:spacing w:after="60" w:line="276"/>
      </w:pPr>
      <w:r>
        <w:rPr>
          <w:b w:val="false"/>
          <w:bCs w:val="false"/>
          <w:i w:val="false"/>
          <w:iCs w:val="false"/>
          <w:color w:val="1A2330"/>
          <w:sz w:val="22"/>
          <w:szCs w:val="22"/>
        </w:rPr>
        <w:t xml:space="preserve">Shredded or destroyed before disposal</w:t>
      </w:r>
    </w:p>
    <w:p>
      <w:pPr>
        <w:pStyle w:val="ListParagraph"/>
        <w:numPr>
          <w:ilvl w:val="2"/>
          <w:numId w:val="3"/>
        </w:numPr>
        <w:spacing w:after="60" w:line="276"/>
      </w:pPr>
      <w:r>
        <w:rPr>
          <w:b w:val="false"/>
          <w:bCs w:val="false"/>
          <w:i w:val="false"/>
          <w:iCs w:val="false"/>
          <w:color w:val="1A2330"/>
          <w:sz w:val="22"/>
          <w:szCs w:val="22"/>
        </w:rPr>
        <w:t xml:space="preserve">Logged if containing sensitive or confidential information</w:t>
      </w:r>
    </w:p>
    <w:p>
      <w:pPr>
        <w:pStyle w:val="ListParagraph"/>
        <w:numPr>
          <w:ilvl w:val="0"/>
          <w:numId w:val="3"/>
        </w:numPr>
        <w:spacing w:after="60" w:line="276"/>
      </w:pPr>
      <w:r>
        <w:rPr>
          <w:b w:val="false"/>
          <w:bCs w:val="false"/>
          <w:i w:val="false"/>
          <w:iCs w:val="false"/>
          <w:color w:val="1A2330"/>
          <w:sz w:val="22"/>
          <w:szCs w:val="22"/>
        </w:rPr>
        <w:t xml:space="preserve">Cloud-based Systems</w:t>
      </w:r>
    </w:p>
    <w:p>
      <w:pPr>
        <w:pStyle w:val="ListParagraph"/>
        <w:numPr>
          <w:ilvl w:val="1"/>
          <w:numId w:val="3"/>
        </w:numPr>
        <w:spacing w:after="60" w:line="276"/>
      </w:pPr>
      <w:r>
        <w:rPr>
          <w:b w:val="false"/>
          <w:bCs w:val="false"/>
          <w:i w:val="false"/>
          <w:iCs w:val="false"/>
          <w:color w:val="1A2330"/>
          <w:sz w:val="22"/>
          <w:szCs w:val="22"/>
        </w:rPr>
        <w:t xml:space="preserve">Ensure data remnants are not left in decommissioned environments</w:t>
      </w:r>
    </w:p>
    <w:p>
      <w:pPr>
        <w:pStyle w:val="ListParagraph"/>
        <w:numPr>
          <w:ilvl w:val="1"/>
          <w:numId w:val="3"/>
        </w:numPr>
        <w:spacing w:after="60" w:line="276"/>
      </w:pPr>
      <w:r>
        <w:rPr>
          <w:b w:val="false"/>
          <w:bCs w:val="false"/>
          <w:i w:val="false"/>
          <w:iCs w:val="false"/>
          <w:color w:val="1A2330"/>
          <w:sz w:val="22"/>
          <w:szCs w:val="22"/>
        </w:rPr>
        <w:t xml:space="preserve">Revoke associated IAM permissions before termination of systems or instances</w:t>
      </w:r>
    </w:p>
    <w:p>
      <w:pPr>
        <w:pStyle w:val="Heading1"/>
      </w:pPr>
      <w:r>
        <w:t xml:space="preserve">Roles and Responsibilities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tblHeader/>
        </w:trPr>
        <w:tc>
          <w:tcPr>
            <w:tcW w:type="dxa" w:w="2700"/>
            <w:tcBorders>
              <w:top w:val="single" w:color="CCCCCC" w:sz="4"/>
              <w:left w:val="single" w:color="CCCCCC" w:sz="4"/>
              <w:bottom w:val="single" w:color="CCCCCC" w:sz="4"/>
              <w:right w:val="single" w:color="CCCCCC" w:sz="4"/>
            </w:tcBorders>
            <w:shd w:fill="1F6FC2" w:color="auto" w:val="clear"/>
            <w:tcMar>
              <w:top w:type="dxa" w:w="80"/>
              <w:left w:type="dxa" w:w="120"/>
              <w:bottom w:type="dxa" w:w="80"/>
              <w:right w:type="dxa" w:w="120"/>
            </w:tcMar>
            <w:vAlign w:val="center"/>
          </w:tcPr>
          <w:p>
            <w:pPr>
              <w:spacing w:after="0" w:line="240"/>
            </w:pPr>
            <w:r>
              <w:rPr>
                <w:b/>
                <w:bCs/>
                <w:i w:val="false"/>
                <w:iCs w:val="false"/>
                <w:color w:val="FFFFFF"/>
                <w:sz w:val="18"/>
                <w:szCs w:val="18"/>
              </w:rPr>
              <w:t xml:space="preserve">Role</w:t>
            </w:r>
          </w:p>
        </w:tc>
        <w:tc>
          <w:tcPr>
            <w:tcW w:type="dxa" w:w="6660"/>
            <w:tcBorders>
              <w:top w:val="single" w:color="CCCCCC" w:sz="4"/>
              <w:left w:val="single" w:color="CCCCCC" w:sz="4"/>
              <w:bottom w:val="single" w:color="CCCCCC" w:sz="4"/>
              <w:right w:val="single" w:color="CCCCCC" w:sz="4"/>
            </w:tcBorders>
            <w:shd w:fill="1F6FC2" w:color="auto" w:val="clear"/>
            <w:tcMar>
              <w:top w:type="dxa" w:w="80"/>
              <w:left w:type="dxa" w:w="120"/>
              <w:bottom w:type="dxa" w:w="80"/>
              <w:right w:type="dxa" w:w="120"/>
            </w:tcMar>
            <w:vAlign w:val="center"/>
          </w:tcPr>
          <w:p>
            <w:pPr>
              <w:spacing w:after="0" w:line="240"/>
            </w:pPr>
            <w:r>
              <w:rPr>
                <w:b/>
                <w:bCs/>
                <w:i w:val="false"/>
                <w:iCs w:val="false"/>
                <w:color w:val="FFFFFF"/>
                <w:sz w:val="18"/>
                <w:szCs w:val="18"/>
              </w:rPr>
              <w:t xml:space="preserve">Responsibility</w:t>
            </w:r>
          </w:p>
        </w:tc>
      </w:tr>
      <w:tr>
        <w:tc>
          <w:tcPr>
            <w:tcW w:type="dxa" w:w="27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0" w:line="240"/>
            </w:pPr>
            <w:r>
              <w:rPr>
                <w:b w:val="false"/>
                <w:bCs w:val="false"/>
                <w:i w:val="false"/>
                <w:iCs w:val="false"/>
                <w:color w:val="1A2330"/>
                <w:sz w:val="18"/>
                <w:szCs w:val="18"/>
              </w:rPr>
              <w:t xml:space="preserve">Data Owners</w:t>
            </w:r>
          </w:p>
        </w:tc>
        <w:tc>
          <w:tcPr>
            <w:tcW w:type="dxa" w:w="66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0" w:line="240"/>
            </w:pPr>
            <w:r>
              <w:rPr>
                <w:b w:val="false"/>
                <w:bCs w:val="false"/>
                <w:i w:val="false"/>
                <w:iCs w:val="false"/>
                <w:color w:val="1A2330"/>
                <w:sz w:val="18"/>
                <w:szCs w:val="18"/>
              </w:rPr>
              <w:t xml:space="preserve">Define appropriate retention periods and approve deletion</w:t>
            </w:r>
          </w:p>
        </w:tc>
      </w:tr>
      <w:tr>
        <w:tc>
          <w:tcPr>
            <w:tcW w:type="dxa" w:w="270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vAlign w:val="center"/>
          </w:tcPr>
          <w:p>
            <w:pPr>
              <w:spacing w:after="0" w:line="240"/>
            </w:pPr>
            <w:r>
              <w:rPr>
                <w:b w:val="false"/>
                <w:bCs w:val="false"/>
                <w:i w:val="false"/>
                <w:iCs w:val="false"/>
                <w:color w:val="1A2330"/>
                <w:sz w:val="18"/>
                <w:szCs w:val="18"/>
              </w:rPr>
              <w:t xml:space="preserve">IT/Infrastructure Engineer</w:t>
            </w:r>
          </w:p>
        </w:tc>
        <w:tc>
          <w:tcPr>
            <w:tcW w:type="dxa" w:w="666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vAlign w:val="center"/>
          </w:tcPr>
          <w:p>
            <w:pPr>
              <w:spacing w:after="0" w:line="240"/>
            </w:pPr>
            <w:r>
              <w:rPr>
                <w:b w:val="false"/>
                <w:bCs w:val="false"/>
                <w:i w:val="false"/>
                <w:iCs w:val="false"/>
                <w:color w:val="1A2330"/>
                <w:sz w:val="18"/>
                <w:szCs w:val="18"/>
              </w:rPr>
              <w:t xml:space="preserve">Execute secure data disposal and cloud purge procedures</w:t>
            </w:r>
          </w:p>
        </w:tc>
      </w:tr>
      <w:tr>
        <w:tc>
          <w:tcPr>
            <w:tcW w:type="dxa" w:w="27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0" w:line="240"/>
            </w:pPr>
            <w:r>
              <w:rPr>
                <w:b w:val="false"/>
                <w:bCs w:val="false"/>
                <w:i w:val="false"/>
                <w:iCs w:val="false"/>
                <w:color w:val="1A2330"/>
                <w:sz w:val="18"/>
                <w:szCs w:val="18"/>
              </w:rPr>
              <w:t xml:space="preserve">Information Security Manager</w:t>
            </w:r>
          </w:p>
        </w:tc>
        <w:tc>
          <w:tcPr>
            <w:tcW w:type="dxa" w:w="66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0" w:line="240"/>
            </w:pPr>
            <w:r>
              <w:rPr>
                <w:b w:val="false"/>
                <w:bCs w:val="false"/>
                <w:i w:val="false"/>
                <w:iCs w:val="false"/>
                <w:color w:val="1A2330"/>
                <w:sz w:val="18"/>
                <w:szCs w:val="18"/>
              </w:rPr>
              <w:t xml:space="preserve">Ensure disposal logs and reviews are maintained</w:t>
            </w:r>
          </w:p>
        </w:tc>
      </w:tr>
      <w:tr>
        <w:tc>
          <w:tcPr>
            <w:tcW w:type="dxa" w:w="270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vAlign w:val="center"/>
          </w:tcPr>
          <w:p>
            <w:pPr>
              <w:spacing w:after="0" w:line="240"/>
            </w:pPr>
            <w:r>
              <w:rPr>
                <w:b w:val="false"/>
                <w:bCs w:val="false"/>
                <w:i w:val="false"/>
                <w:iCs w:val="false"/>
                <w:color w:val="1A2330"/>
                <w:sz w:val="18"/>
                <w:szCs w:val="18"/>
              </w:rPr>
              <w:t xml:space="preserve">GRC Analyst</w:t>
            </w:r>
          </w:p>
        </w:tc>
        <w:tc>
          <w:tcPr>
            <w:tcW w:type="dxa" w:w="666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vAlign w:val="center"/>
          </w:tcPr>
          <w:p>
            <w:pPr>
              <w:spacing w:after="0" w:line="240"/>
            </w:pPr>
            <w:r>
              <w:rPr>
                <w:b w:val="false"/>
                <w:bCs w:val="false"/>
                <w:i w:val="false"/>
                <w:iCs w:val="false"/>
                <w:color w:val="1A2330"/>
                <w:sz w:val="18"/>
                <w:szCs w:val="18"/>
              </w:rPr>
              <w:t xml:space="preserve">Verify compliance with policies and audits retention schedules</w:t>
            </w:r>
          </w:p>
        </w:tc>
      </w:tr>
    </w:tbl>
    <w:p>
      <w:pPr>
        <w:pStyle w:val="Heading1"/>
      </w:pPr>
      <w:r>
        <w:t xml:space="preserve">Exceptions</w:t>
      </w:r>
    </w:p>
    <w:p>
      <w:pPr>
        <w:spacing w:after="60" w:line="276"/>
        <w:jc w:val="left"/>
      </w:pPr>
      <w:r>
        <w:rPr>
          <w:b w:val="false"/>
          <w:bCs w:val="false"/>
          <w:i w:val="false"/>
          <w:iCs w:val="false"/>
          <w:color w:val="1A2330"/>
          <w:sz w:val="22"/>
          <w:szCs w:val="22"/>
        </w:rPr>
        <w:t xml:space="preserve">Any exceptions to this policy must be:</w:t>
      </w:r>
    </w:p>
    <w:p>
      <w:pPr>
        <w:pStyle w:val="ListParagraph"/>
        <w:numPr>
          <w:ilvl w:val="0"/>
          <w:numId w:val="2"/>
        </w:numPr>
        <w:spacing w:after="60" w:line="276"/>
      </w:pPr>
      <w:r>
        <w:rPr>
          <w:b w:val="false"/>
          <w:bCs w:val="false"/>
          <w:i w:val="false"/>
          <w:iCs w:val="false"/>
          <w:color w:val="1A2330"/>
          <w:sz w:val="22"/>
          <w:szCs w:val="22"/>
        </w:rPr>
        <w:t xml:space="preserve">Documented with a valid justification</w:t>
      </w:r>
    </w:p>
    <w:p>
      <w:pPr>
        <w:pStyle w:val="ListParagraph"/>
        <w:numPr>
          <w:ilvl w:val="0"/>
          <w:numId w:val="2"/>
        </w:numPr>
        <w:spacing w:after="60" w:line="276"/>
      </w:pPr>
      <w:r>
        <w:rPr>
          <w:b w:val="false"/>
          <w:bCs w:val="false"/>
          <w:i w:val="false"/>
          <w:iCs w:val="false"/>
          <w:color w:val="1A2330"/>
          <w:sz w:val="22"/>
          <w:szCs w:val="22"/>
        </w:rPr>
        <w:t xml:space="preserve">Reviewed and approved by the Information Security Manager</w:t>
      </w:r>
    </w:p>
    <w:p>
      <w:pPr>
        <w:pStyle w:val="Heading1"/>
      </w:pPr>
      <w:r>
        <w:t xml:space="preserve">Policy Review</w:t>
      </w:r>
    </w:p>
    <w:p>
      <w:pPr>
        <w:spacing w:after="160" w:line="276"/>
        <w:jc w:val="both"/>
      </w:pPr>
      <w:r>
        <w:rPr>
          <w:b w:val="false"/>
          <w:bCs w:val="false"/>
          <w:i w:val="false"/>
          <w:iCs w:val="false"/>
          <w:color w:val="1A2330"/>
          <w:sz w:val="22"/>
          <w:szCs w:val="22"/>
        </w:rPr>
        <w:t xml:space="preserve">This policy is reviewed annually or upon significant change to the environment or regulatory requirements.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6FC2" w:sz="4" w:space="6"/>
      </w:pBdr>
      <w:tabs>
        <w:tab w:val="right" w:pos="9360"/>
      </w:tabs>
      <w:spacing w:before="0"/>
    </w:pPr>
    <w:r>
      <w:rPr>
        <w:color w:val="666666"/>
        <w:sz w:val="16"/>
        <w:szCs w:val="16"/>
      </w:rPr>
      <w:t xml:space="preserve">Classification: Internal</w:t>
    </w:r>
    <w:r>
      <w:rPr>
        <w:color w:val="666666"/>
        <w:sz w:val="16"/>
        <w:szCs w:val="16"/>
      </w:rPr>
      <w:t xml:space="preserve">	Page </w:t>
    </w:r>
    <w:r>
      <w:rPr>
        <w:color w:val="666666"/>
        <w:sz w:val="16"/>
        <w:szCs w:val="16"/>
      </w:rPr>
      <w:fldChar w:fldCharType="begin"/>
      <w:instrText xml:space="preserve">PAGE</w:instrText>
      <w:fldChar w:fldCharType="separate"/>
      <w:fldChar w:fldCharType="end"/>
    </w:r>
    <w:r>
      <w:rPr>
        <w:color w:val="666666"/>
        <w:sz w:val="16"/>
        <w:szCs w:val="16"/>
      </w:rPr>
      <w:t xml:space="preserve"> of </w:t>
    </w:r>
    <w:r>
      <w:rPr>
        <w:color w:val="6666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6FC2" w:sz="4" w:space="6"/>
      </w:pBdr>
      <w:tabs>
        <w:tab w:val="right" w:pos="9360"/>
      </w:tabs>
      <w:spacing w:after="0"/>
    </w:pPr>
    <w:r>
      <w:rPr>
        <w:b/>
        <w:bCs/>
        <w:color w:val="1F6FC2"/>
        <w:sz w:val="16"/>
        <w:szCs w:val="16"/>
      </w:rPr>
      <w:t xml:space="preserve">Stark Industries Inc.</w:t>
    </w:r>
    <w:r>
      <w:rPr>
        <w:color w:val="666666"/>
        <w:sz w:val="16"/>
        <w:szCs w:val="16"/>
      </w:rPr>
      <w:t xml:space="preserve">	Data Retention &amp; Disposal Policy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233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6FC2" w:sz="6" w:space="4"/>
      </w:pBdr>
      <w:spacing w:after="160" w:before="320"/>
      <w:outlineLvl w:val="0"/>
    </w:pPr>
    <w:rPr>
      <w:rFonts w:ascii="Arial" w:cs="Arial" w:eastAsia="Arial" w:hAnsi="Arial"/>
      <w:b/>
      <w:bCs/>
      <w:color w:val="1F6FC2"/>
      <w:sz w:val="30"/>
      <w:szCs w:val="30"/>
    </w:rPr>
  </w:style>
  <w:style w:type="paragraph" w:styleId="Heading2">
    <w:name w:val="Heading 2"/>
    <w:basedOn w:val="Normal"/>
    <w:next w:val="Normal"/>
    <w:qFormat/>
    <w:pPr>
      <w:spacing w:after="120" w:before="220"/>
      <w:outlineLvl w:val="1"/>
    </w:pPr>
    <w:rPr>
      <w:rFonts w:ascii="Arial" w:cs="Arial" w:eastAsia="Arial" w:hAnsi="Arial"/>
      <w:b/>
      <w:bCs/>
      <w:color w:val="1A2330"/>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2026-06-06T11:39:50.889Z</dcterms:created>
  <dcterms:modified xsi:type="dcterms:W3CDTF">2026-06-06T11:39:50.889Z</dcterms:modified>
</cp:coreProperties>
</file>

<file path=docProps/custom.xml><?xml version="1.0" encoding="utf-8"?>
<Properties xmlns="http://schemas.openxmlformats.org/officeDocument/2006/custom-properties" xmlns:vt="http://schemas.openxmlformats.org/officeDocument/2006/docPropsVTypes"/>
</file>