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6FC2"/>
          <w:sz w:val="28"/>
          <w:szCs w:val="28"/>
        </w:rPr>
        <w:t xml:space="preserve">STARK INDUSTRIES INC.</w:t>
      </w:r>
    </w:p>
    <w:p>
      <w:pPr>
        <w:spacing w:after="0" w:before="200"/>
        <w:jc w:val="center"/>
      </w:pPr>
      <w:r>
        <w:rPr>
          <w:b/>
          <w:bCs/>
          <w:color w:val="1A2330"/>
          <w:sz w:val="52"/>
          <w:szCs w:val="52"/>
        </w:rPr>
        <w:t xml:space="preserve">Incident Management Policy</w:t>
      </w:r>
    </w:p>
    <w:p>
      <w:pPr>
        <w:spacing w:after="0" w:before="360"/>
        <w:jc w:val="center"/>
      </w:pPr>
      <w:r>
        <w:rPr>
          <w:i/>
          <w:iCs/>
          <w:color w:val="666666"/>
          <w:sz w:val="24"/>
          <w:szCs w:val="24"/>
        </w:rPr>
        <w:t xml:space="preserve">Stark Industries Inc. - ISMS (A.5.28 - A.5.31)</w:t>
      </w:r>
    </w:p>
    <w:p>
      <w:pPr>
        <w:spacing w:after="0" w:before="2400"/>
        <w:jc w:val="center"/>
      </w:pPr>
      <w:r>
        <w:rPr>
          <w:color w:val="666666"/>
          <w:sz w:val="20"/>
          <w:szCs w:val="20"/>
        </w:rPr>
        <w:t xml:space="preserve">Author: Nirmay Soni, Cyber Security GRC Analyst</w:t>
      </w:r>
    </w:p>
    <w:p>
      <w:pPr>
        <w:spacing w:after="0" w:before="100"/>
        <w:jc w:val="center"/>
      </w:pPr>
      <w:r>
        <w:rPr>
          <w:color w:val="666666"/>
          <w:sz w:val="20"/>
          <w:szCs w:val="20"/>
        </w:rPr>
        <w:t xml:space="preserve">Approved by: Happy Hogan, Information Security Manager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"/>
        <w:gridCol w:w="960"/>
        <w:gridCol w:w="1060"/>
        <w:gridCol w:w="1400"/>
        <w:gridCol w:w="1180"/>
        <w:gridCol w:w="1180"/>
        <w:gridCol w:w="1360"/>
        <w:gridCol w:w="1200"/>
      </w:tblGrid>
      <w:tr>
        <w:trPr>
          <w:tblHeader/>
        </w:trPr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1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Review Frequency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Next Review</w:t>
            </w:r>
          </w:p>
        </w:tc>
      </w:tr>
      <w:tr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15 Jan 2026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1.0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Nirmay Soni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Happy Hogan</w:t>
            </w:r>
          </w:p>
        </w:tc>
        <w:tc>
          <w:tcPr>
            <w:tcW w:type="dxa" w:w="1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15 Jan 2026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Annual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Jan 2027</w:t>
            </w:r>
          </w:p>
        </w:tc>
      </w:tr>
    </w:tbl>
    <w:p>
      <w:pPr>
        <w:pStyle w:val="Heading1"/>
      </w:pPr>
      <w:r>
        <w:t xml:space="preserve">Purpose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This policy ensures that Stark Industries Inc. can detect, report, assess, respond to, and recover from information security incidents in a timely, coordinated, and consistent manner. This policy is aligned with ISO/IEC 27001:2022 (A.5.28 - A.5.31).</w:t>
      </w:r>
    </w:p>
    <w:p>
      <w:pPr>
        <w:pStyle w:val="Heading1"/>
      </w:pPr>
      <w:r>
        <w:t xml:space="preserve">Scope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Applies to all employees, contractors, third-party vendors, and systems under the ISMS scope of Stark Industries Inc., including production environments, cloud infrastructure (AWS), developer tools, and endpoint devices.</w:t>
      </w:r>
    </w:p>
    <w:p>
      <w:pPr>
        <w:pStyle w:val="Heading1"/>
      </w:pPr>
      <w:r>
        <w:t xml:space="preserve">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Incident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An event that has or may compromise the confidentiality, integrity, or availability of information or systems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Major Incident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Any incident that significantly disrupts business operations, affects multiple users, or could result in legal/regulatory consequences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Security Event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Observable occurrence (e.g. alert, log entry) that may indicate a security incident</w:t>
            </w:r>
          </w:p>
        </w:tc>
      </w:tr>
    </w:tbl>
    <w:p>
      <w:pPr>
        <w:pStyle w:val="Heading1"/>
      </w:pPr>
      <w:r>
        <w:t xml:space="preserve">Policy Objectives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Detect and respond to incidents quickly and effectively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Minimise business disruption and data loss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Fulfil legal, regulatory, and contractual obligations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Maintain accurate incident records for accountability and continuous improvement</w:t>
      </w:r>
    </w:p>
    <w:p>
      <w:pPr>
        <w:pStyle w:val="Heading1"/>
      </w:pPr>
      <w:r>
        <w:t xml:space="preserve">Incident Reporting (A.5.29)</w:t>
      </w:r>
    </w:p>
    <w:p>
      <w:pPr>
        <w:spacing w:after="60" w:line="276"/>
        <w:jc w:val="left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All incidents must be reported via: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Email to security@starkindustries.com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Internal Slack channel #security-incidents</w:t>
      </w:r>
    </w:p>
    <w:p>
      <w:pPr>
        <w:spacing w:after="60" w:line="276"/>
        <w:jc w:val="left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Reports must include: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Description of the issue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Time and location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Systems and users affected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Any known actions taken</w:t>
      </w:r>
    </w:p>
    <w:p>
      <w:pPr>
        <w:pStyle w:val="Heading1"/>
      </w:pPr>
      <w:r>
        <w:t xml:space="preserve">Incident Response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Detection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Monitor logs, alerts, and user reports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Assessment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Validate and classify the incident (Low, Medium, High, Critical)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Containment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Isolate affected systems, accounts, or services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Eradication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Remove root cause (e.g. patching, access revocation)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Recovery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Restore systems to a secure operational state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Inform internal stakeholders, customers, or regulators as required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Lessons Learned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Conduct post-incident review and update controls (A.5.31)</w:t>
            </w:r>
          </w:p>
        </w:tc>
      </w:tr>
    </w:tbl>
    <w:p>
      <w:pPr>
        <w:pStyle w:val="Heading1"/>
      </w:pPr>
      <w:r>
        <w:t xml:space="preserve">Classification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7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Minimal impact, handled by IT with no customer effect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Limited disruption, some user accounts or internal systems affected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Customer-facing impact, potential breach of confidential data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Critical</w:t>
            </w:r>
          </w:p>
        </w:tc>
        <w:tc>
          <w:tcPr>
            <w:tcW w:type="dxa" w:w="7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Severe system compromise, legal or regulatory implications, widespread outage</w:t>
            </w:r>
          </w:p>
        </w:tc>
      </w:tr>
    </w:tbl>
    <w:p>
      <w:pPr>
        <w:pStyle w:val="Heading1"/>
      </w:pPr>
      <w:r>
        <w:t xml:space="preserve">Communication and Escalation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Internal escalation follows the ISMS contact chain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Legal or PR teams must be informed for incidents involving data breaches or media risk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Customers must be informed if their data is affected, following contractual or regulatory timelines.</w:t>
      </w:r>
    </w:p>
    <w:p>
      <w:pPr>
        <w:pStyle w:val="Heading1"/>
      </w:pPr>
      <w:r>
        <w:t xml:space="preserve">Evidence Handling and Logging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Incident-related logs must be preserved and secured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Screenshots, network captures, and audit trails are stored in a restricted-access incident evidence folder</w:t>
      </w:r>
    </w:p>
    <w:p>
      <w:pPr>
        <w:pStyle w:val="Heading1"/>
      </w:pPr>
      <w:r>
        <w:t xml:space="preserve">Training and Awareness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All staff must complete incident reporting awareness training annually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Technical teams participate in tabletop exercises or incident simulations every 12 months</w:t>
      </w:r>
    </w:p>
    <w:p>
      <w:pPr>
        <w:pStyle w:val="Heading1"/>
      </w:pPr>
      <w:r>
        <w:t xml:space="preserve">Testing and Continuous Improvement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Incident response procedures must be tested at least annually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Every major incident must result in a formal post-incident report, including root cause, corrective actions, and ISMS control updates</w:t>
      </w:r>
    </w:p>
    <w:p>
      <w:pPr>
        <w:pStyle w:val="Heading1"/>
      </w:pPr>
      <w:r>
        <w:t xml:space="preserve">Roles and Responsibilities (A.5.28)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All Users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Report suspected incidents immediately via the designated channel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Incident Handler (InfoSec Analyst)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Lead technical response and evidence collection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Information Security Manager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Approve severity classification, coordinate escalation, ensure response plans are tested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GRC Analyst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Maintain incident register and support post-incident reviews</w:t>
            </w:r>
          </w:p>
        </w:tc>
      </w:tr>
    </w:tbl>
    <w:p>
      <w:pPr>
        <w:pStyle w:val="Heading1"/>
      </w:pPr>
      <w:r>
        <w:t xml:space="preserve">Exceptions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Exceptions must be: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Documented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Approved by the Information Security Manager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Mitigated with alternative controls where feasible</w:t>
      </w:r>
    </w:p>
    <w:p>
      <w:pPr>
        <w:pStyle w:val="Heading1"/>
      </w:pPr>
      <w:r>
        <w:t xml:space="preserve">Policy Review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This policy is reviewed annually or upon significant change to the environment or regulatory requirements.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6FC2" w:sz="4" w:space="6"/>
      </w:pBdr>
      <w:tabs>
        <w:tab w:val="right" w:pos="9360"/>
      </w:tabs>
      <w:spacing w:before="0"/>
    </w:pPr>
    <w:r>
      <w:rPr>
        <w:color w:val="666666"/>
        <w:sz w:val="16"/>
        <w:szCs w:val="16"/>
      </w:rPr>
      <w:t xml:space="preserve">Classification: Internal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C2" w:sz="4" w:space="6"/>
      </w:pBdr>
      <w:tabs>
        <w:tab w:val="right" w:pos="9360"/>
      </w:tabs>
      <w:spacing w:after="0"/>
    </w:pPr>
    <w:r>
      <w:rPr>
        <w:b/>
        <w:bCs/>
        <w:color w:val="1F6FC2"/>
        <w:sz w:val="16"/>
        <w:szCs w:val="16"/>
      </w:rPr>
      <w:t xml:space="preserve">Stark Industries Inc.</w:t>
    </w:r>
    <w:r>
      <w:rPr>
        <w:color w:val="666666"/>
        <w:sz w:val="16"/>
        <w:szCs w:val="16"/>
      </w:rPr>
      <w:t xml:space="preserve">	Incident Management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C2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6FC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233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2026-06-06T11:39:50.979Z</dcterms:created>
  <dcterms:modified xsi:type="dcterms:W3CDTF">2026-06-06T11:39:50.979Z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