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Monitoring &amp; Logging Policy</w:t>
      </w:r>
    </w:p>
    <w:p>
      <w:pPr>
        <w:spacing w:after="0" w:before="360"/>
        <w:jc w:val="center"/>
      </w:pPr>
      <w:r>
        <w:rPr>
          <w:i/>
          <w:iCs/>
          <w:color w:val="666666"/>
          <w:sz w:val="24"/>
          <w:szCs w:val="24"/>
        </w:rPr>
        <w:t xml:space="preserve">Stark Industries Inc. - ISMS (A.8.15 - A.8.17)</w:t>
      </w:r>
    </w:p>
    <w:p>
      <w:pPr>
        <w:spacing w:after="0" w:before="2400"/>
        <w:jc w:val="center"/>
      </w:pPr>
      <w:r>
        <w:rPr>
          <w:color w:val="666666"/>
          <w:sz w:val="20"/>
          <w:szCs w:val="20"/>
        </w:rPr>
        <w:t xml:space="preserve">Author: Nirmay Soni, Cyber Security GRC Analyst</w:t>
      </w:r>
    </w:p>
    <w:p>
      <w:pPr>
        <w:spacing w:after="0" w:before="100"/>
        <w:jc w:val="center"/>
      </w:pPr>
      <w:r>
        <w:rPr>
          <w:color w:val="666666"/>
          <w:sz w:val="20"/>
          <w:szCs w:val="20"/>
        </w:rPr>
        <w:t xml:space="preserve">Approved by: Happy Hogan, Information Security Manager</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Date</w:t>
            </w:r>
          </w:p>
        </w:tc>
        <w:tc>
          <w:tcPr>
            <w:tcW w:type="dxa" w:w="9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Version</w:t>
            </w:r>
          </w:p>
        </w:tc>
        <w:tc>
          <w:tcPr>
            <w:tcW w:type="dxa" w:w="10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Author</w:t>
            </w:r>
          </w:p>
        </w:tc>
        <w:tc>
          <w:tcPr>
            <w:tcW w:type="dxa" w:w="14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Description</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Approved By</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Last Updated</w:t>
            </w:r>
          </w:p>
        </w:tc>
        <w:tc>
          <w:tcPr>
            <w:tcW w:type="dxa" w:w="13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Review Frequency</w:t>
            </w:r>
          </w:p>
        </w:tc>
        <w:tc>
          <w:tcPr>
            <w:tcW w:type="dxa" w:w="12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Next Review</w:t>
            </w:r>
          </w:p>
        </w:tc>
      </w:tr>
      <w:tr>
        <w:tc>
          <w:tcPr>
            <w:tcW w:type="dxa" w:w="10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1.0</w:t>
            </w:r>
          </w:p>
        </w:tc>
        <w:tc>
          <w:tcPr>
            <w:tcW w:type="dxa" w:w="10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Nirmay Soni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Initial issue</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Happy Hogan</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Annual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Jan 2027</w:t>
            </w:r>
          </w:p>
        </w:tc>
      </w:tr>
    </w:tbl>
    <w:p>
      <w:pPr>
        <w:pStyle w:val="Heading1"/>
      </w:pPr>
      <w:r>
        <w:t xml:space="preserve">Purpose</w:t>
      </w:r>
    </w:p>
    <w:p>
      <w:pPr>
        <w:spacing w:after="160" w:line="276"/>
        <w:jc w:val="both"/>
      </w:pPr>
      <w:r>
        <w:rPr>
          <w:b w:val="false"/>
          <w:bCs w:val="false"/>
          <w:i w:val="false"/>
          <w:iCs w:val="false"/>
          <w:color w:val="1A2330"/>
          <w:sz w:val="22"/>
          <w:szCs w:val="22"/>
        </w:rPr>
        <w:t xml:space="preserve">This policy ensures that Stark Industries Inc. effectively monitors its information systems to detect, investigate, and respond to unauthorised or abnormal activities while maintaining the integrity and confidentiality of logs. This policy is aligned with ISO/IEC 27001:2022 (A.8.15 - A.8.17).</w:t>
      </w:r>
    </w:p>
    <w:p>
      <w:pPr>
        <w:pStyle w:val="Heading1"/>
      </w:pPr>
      <w:r>
        <w:t xml:space="preserve">Scope</w:t>
      </w:r>
    </w:p>
    <w:p>
      <w:pPr>
        <w:spacing w:after="160" w:line="276"/>
        <w:jc w:val="both"/>
      </w:pPr>
      <w:r>
        <w:rPr>
          <w:b w:val="false"/>
          <w:bCs w:val="false"/>
          <w:i w:val="false"/>
          <w:iCs w:val="false"/>
          <w:color w:val="1A2330"/>
          <w:sz w:val="22"/>
          <w:szCs w:val="22"/>
        </w:rPr>
        <w:t xml:space="preserve">Applies to all cloud environments (e.g. AWS), internal systems, endpoints, applications (e.g. SaaS platform, admin tools), and development infrastructure (e.g. GitHub Actions, CI/CD pipelines) under Stark Industries Inc.'s ISMS scope.</w:t>
      </w:r>
    </w:p>
    <w:p>
      <w:pPr>
        <w:pStyle w:val="Heading1"/>
      </w:pPr>
      <w:r>
        <w:t xml:space="preserve">Objectives</w:t>
      </w:r>
    </w:p>
    <w:p>
      <w:pPr>
        <w:pStyle w:val="ListParagraph"/>
        <w:numPr>
          <w:ilvl w:val="0"/>
          <w:numId w:val="2"/>
        </w:numPr>
        <w:spacing w:after="60" w:line="276"/>
      </w:pPr>
      <w:r>
        <w:rPr>
          <w:b w:val="false"/>
          <w:bCs w:val="false"/>
          <w:i w:val="false"/>
          <w:iCs w:val="false"/>
          <w:color w:val="1A2330"/>
          <w:sz w:val="22"/>
          <w:szCs w:val="22"/>
        </w:rPr>
        <w:t xml:space="preserve">Detect security incidents and policy violations in real time</w:t>
      </w:r>
    </w:p>
    <w:p>
      <w:pPr>
        <w:pStyle w:val="ListParagraph"/>
        <w:numPr>
          <w:ilvl w:val="0"/>
          <w:numId w:val="2"/>
        </w:numPr>
        <w:spacing w:after="60" w:line="276"/>
      </w:pPr>
      <w:r>
        <w:rPr>
          <w:b w:val="false"/>
          <w:bCs w:val="false"/>
          <w:i w:val="false"/>
          <w:iCs w:val="false"/>
          <w:color w:val="1A2330"/>
          <w:sz w:val="22"/>
          <w:szCs w:val="22"/>
        </w:rPr>
        <w:t xml:space="preserve">Preserve forensic evidence through log retention and protection</w:t>
      </w:r>
    </w:p>
    <w:p>
      <w:pPr>
        <w:pStyle w:val="ListParagraph"/>
        <w:numPr>
          <w:ilvl w:val="0"/>
          <w:numId w:val="2"/>
        </w:numPr>
        <w:spacing w:after="60" w:line="276"/>
      </w:pPr>
      <w:r>
        <w:rPr>
          <w:b w:val="false"/>
          <w:bCs w:val="false"/>
          <w:i w:val="false"/>
          <w:iCs w:val="false"/>
          <w:color w:val="1A2330"/>
          <w:sz w:val="22"/>
          <w:szCs w:val="22"/>
        </w:rPr>
        <w:t xml:space="preserve">Meet audit, regulatory, and contractual logging requirements</w:t>
      </w:r>
    </w:p>
    <w:p>
      <w:pPr>
        <w:pStyle w:val="Heading1"/>
      </w:pPr>
      <w:r>
        <w:t xml:space="preserve">Logging Requirements (A.8.15)</w:t>
      </w:r>
    </w:p>
    <w:p>
      <w:pPr>
        <w:spacing w:after="120" w:line="276"/>
        <w:jc w:val="left"/>
      </w:pPr>
      <w:r>
        <w:rPr>
          <w:b w:val="false"/>
          <w:bCs w:val="false"/>
          <w:i w:val="false"/>
          <w:iCs w:val="false"/>
          <w:color w:val="1A2330"/>
          <w:sz w:val="22"/>
          <w:szCs w:val="22"/>
        </w:rPr>
        <w:t xml:space="preserve">Stark Industries must log the following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Event Type</w:t>
            </w:r>
          </w:p>
        </w:tc>
        <w:tc>
          <w:tcPr>
            <w:tcW w:type="dxa" w:w="69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Examples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Authentication events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Successful and failed login attempts, MFA bypass</w:t>
            </w:r>
          </w:p>
        </w:tc>
      </w:tr>
      <w:tr>
        <w:tc>
          <w:tcPr>
            <w:tcW w:type="dxa" w:w="24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bCs/>
                <w:i w:val="false"/>
                <w:iCs w:val="false"/>
                <w:color w:val="1A2330"/>
                <w:sz w:val="18"/>
                <w:szCs w:val="18"/>
              </w:rPr>
              <w:t xml:space="preserve">System changes</w:t>
            </w:r>
          </w:p>
        </w:tc>
        <w:tc>
          <w:tcPr>
            <w:tcW w:type="dxa" w:w="69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User provisioning, permissions changes, deployments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Network activity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Firewall changes, VPN connections, AWS Security Group changes</w:t>
            </w:r>
          </w:p>
        </w:tc>
      </w:tr>
      <w:tr>
        <w:tc>
          <w:tcPr>
            <w:tcW w:type="dxa" w:w="24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bCs/>
                <w:i w:val="false"/>
                <w:iCs w:val="false"/>
                <w:color w:val="1A2330"/>
                <w:sz w:val="18"/>
                <w:szCs w:val="18"/>
              </w:rPr>
              <w:t xml:space="preserve">Application events</w:t>
            </w:r>
          </w:p>
        </w:tc>
        <w:tc>
          <w:tcPr>
            <w:tcW w:type="dxa" w:w="69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Code pushes, build failures, admin access to production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Incident indicators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Anomalous behaviour, alerts from IDS/WAF, brute force attempts</w:t>
            </w:r>
          </w:p>
        </w:tc>
      </w:tr>
    </w:tbl>
    <w:p>
      <w:pPr>
        <w:pStyle w:val="Heading1"/>
      </w:pPr>
      <w:r>
        <w:t xml:space="preserve">Retention and Storage (A.8.16)</w:t>
      </w:r>
    </w:p>
    <w:p>
      <w:pPr>
        <w:pStyle w:val="ListParagraph"/>
        <w:numPr>
          <w:ilvl w:val="0"/>
          <w:numId w:val="2"/>
        </w:numPr>
        <w:spacing w:after="60" w:line="276"/>
      </w:pPr>
      <w:r>
        <w:rPr>
          <w:b w:val="false"/>
          <w:bCs w:val="false"/>
          <w:i w:val="false"/>
          <w:iCs w:val="false"/>
          <w:color w:val="1A2330"/>
          <w:sz w:val="22"/>
          <w:szCs w:val="22"/>
        </w:rPr>
        <w:t xml:space="preserve">Logs are retained for a minimum of 12 months</w:t>
      </w:r>
    </w:p>
    <w:p>
      <w:pPr>
        <w:pStyle w:val="ListParagraph"/>
        <w:numPr>
          <w:ilvl w:val="0"/>
          <w:numId w:val="2"/>
        </w:numPr>
        <w:spacing w:after="60" w:line="276"/>
      </w:pPr>
      <w:r>
        <w:rPr>
          <w:b w:val="false"/>
          <w:bCs w:val="false"/>
          <w:i w:val="false"/>
          <w:iCs w:val="false"/>
          <w:color w:val="1A2330"/>
          <w:sz w:val="22"/>
          <w:szCs w:val="22"/>
        </w:rPr>
        <w:t xml:space="preserve">Stored in a secure, centralised log management system (e.g. AWS CloudWatch, SIEM)</w:t>
      </w:r>
    </w:p>
    <w:p>
      <w:pPr>
        <w:pStyle w:val="ListParagraph"/>
        <w:numPr>
          <w:ilvl w:val="0"/>
          <w:numId w:val="2"/>
        </w:numPr>
        <w:spacing w:after="60" w:line="276"/>
      </w:pPr>
      <w:r>
        <w:rPr>
          <w:b w:val="false"/>
          <w:bCs w:val="false"/>
          <w:i w:val="false"/>
          <w:iCs w:val="false"/>
          <w:color w:val="1A2330"/>
          <w:sz w:val="22"/>
          <w:szCs w:val="22"/>
        </w:rPr>
        <w:t xml:space="preserve">Backups of critical logs are encrypted and stored separately</w:t>
      </w:r>
    </w:p>
    <w:p>
      <w:pPr>
        <w:pStyle w:val="Heading1"/>
      </w:pPr>
      <w:r>
        <w:t xml:space="preserve">Protection and Integrity</w:t>
      </w:r>
    </w:p>
    <w:p>
      <w:pPr>
        <w:pStyle w:val="ListParagraph"/>
        <w:numPr>
          <w:ilvl w:val="0"/>
          <w:numId w:val="2"/>
        </w:numPr>
        <w:spacing w:after="60" w:line="276"/>
      </w:pPr>
      <w:r>
        <w:rPr>
          <w:b w:val="false"/>
          <w:bCs w:val="false"/>
          <w:i w:val="false"/>
          <w:iCs w:val="false"/>
          <w:color w:val="1A2330"/>
          <w:sz w:val="22"/>
          <w:szCs w:val="22"/>
        </w:rPr>
        <w:t xml:space="preserve">Logs are protected against tampering using:</w:t>
      </w:r>
    </w:p>
    <w:p>
      <w:pPr>
        <w:pStyle w:val="ListParagraph"/>
        <w:numPr>
          <w:ilvl w:val="1"/>
          <w:numId w:val="2"/>
        </w:numPr>
        <w:spacing w:after="60" w:line="276"/>
      </w:pPr>
      <w:r>
        <w:rPr>
          <w:b w:val="false"/>
          <w:bCs w:val="false"/>
          <w:i w:val="false"/>
          <w:iCs w:val="false"/>
          <w:color w:val="1A2330"/>
          <w:sz w:val="22"/>
          <w:szCs w:val="22"/>
        </w:rPr>
        <w:t xml:space="preserve">Role-based access control (RBAC)</w:t>
      </w:r>
    </w:p>
    <w:p>
      <w:pPr>
        <w:pStyle w:val="ListParagraph"/>
        <w:numPr>
          <w:ilvl w:val="1"/>
          <w:numId w:val="2"/>
        </w:numPr>
        <w:spacing w:after="60" w:line="276"/>
      </w:pPr>
      <w:r>
        <w:rPr>
          <w:b w:val="false"/>
          <w:bCs w:val="false"/>
          <w:i w:val="false"/>
          <w:iCs w:val="false"/>
          <w:color w:val="1A2330"/>
          <w:sz w:val="22"/>
          <w:szCs w:val="22"/>
        </w:rPr>
        <w:t xml:space="preserve">Immutable storage features (e.g. AWS S3 object lock)</w:t>
      </w:r>
    </w:p>
    <w:p>
      <w:pPr>
        <w:pStyle w:val="ListParagraph"/>
        <w:numPr>
          <w:ilvl w:val="0"/>
          <w:numId w:val="2"/>
        </w:numPr>
        <w:spacing w:after="60" w:line="276"/>
      </w:pPr>
      <w:r>
        <w:rPr>
          <w:b w:val="false"/>
          <w:bCs w:val="false"/>
          <w:i w:val="false"/>
          <w:iCs w:val="false"/>
          <w:color w:val="1A2330"/>
          <w:sz w:val="22"/>
          <w:szCs w:val="22"/>
        </w:rPr>
        <w:t xml:space="preserve">Only authorised personnel may access logs</w:t>
      </w:r>
    </w:p>
    <w:p>
      <w:pPr>
        <w:pStyle w:val="ListParagraph"/>
        <w:numPr>
          <w:ilvl w:val="0"/>
          <w:numId w:val="2"/>
        </w:numPr>
        <w:spacing w:after="60" w:line="276"/>
      </w:pPr>
      <w:r>
        <w:rPr>
          <w:b w:val="false"/>
          <w:bCs w:val="false"/>
          <w:i w:val="false"/>
          <w:iCs w:val="false"/>
          <w:color w:val="1A2330"/>
          <w:sz w:val="22"/>
          <w:szCs w:val="22"/>
        </w:rPr>
        <w:t xml:space="preserve">Logs must not be modified or deleted without documented approval</w:t>
      </w:r>
    </w:p>
    <w:p>
      <w:pPr>
        <w:pStyle w:val="Heading1"/>
      </w:pPr>
      <w:r>
        <w:t xml:space="preserve">Review and Monitoring</w:t>
      </w:r>
    </w:p>
    <w:p>
      <w:pPr>
        <w:pStyle w:val="ListParagraph"/>
        <w:numPr>
          <w:ilvl w:val="0"/>
          <w:numId w:val="2"/>
        </w:numPr>
        <w:spacing w:after="60" w:line="276"/>
      </w:pPr>
      <w:r>
        <w:rPr>
          <w:b w:val="false"/>
          <w:bCs w:val="false"/>
          <w:i w:val="false"/>
          <w:iCs w:val="false"/>
          <w:color w:val="1A2330"/>
          <w:sz w:val="22"/>
          <w:szCs w:val="22"/>
        </w:rPr>
        <w:t xml:space="preserve">Daily automated log reviews for key systems and security events</w:t>
      </w:r>
    </w:p>
    <w:p>
      <w:pPr>
        <w:pStyle w:val="ListParagraph"/>
        <w:numPr>
          <w:ilvl w:val="0"/>
          <w:numId w:val="2"/>
        </w:numPr>
        <w:spacing w:after="60" w:line="276"/>
      </w:pPr>
      <w:r>
        <w:rPr>
          <w:b w:val="false"/>
          <w:bCs w:val="false"/>
          <w:i w:val="false"/>
          <w:iCs w:val="false"/>
          <w:color w:val="1A2330"/>
          <w:sz w:val="22"/>
          <w:szCs w:val="22"/>
        </w:rPr>
        <w:t xml:space="preserve">Alerts are generated for:</w:t>
      </w:r>
    </w:p>
    <w:p>
      <w:pPr>
        <w:pStyle w:val="ListParagraph"/>
        <w:numPr>
          <w:ilvl w:val="1"/>
          <w:numId w:val="2"/>
        </w:numPr>
        <w:spacing w:after="60" w:line="276"/>
      </w:pPr>
      <w:r>
        <w:rPr>
          <w:b w:val="false"/>
          <w:bCs w:val="false"/>
          <w:i w:val="false"/>
          <w:iCs w:val="false"/>
          <w:color w:val="1A2330"/>
          <w:sz w:val="22"/>
          <w:szCs w:val="22"/>
        </w:rPr>
        <w:t xml:space="preserve">Failed login attempts</w:t>
      </w:r>
    </w:p>
    <w:p>
      <w:pPr>
        <w:pStyle w:val="ListParagraph"/>
        <w:numPr>
          <w:ilvl w:val="1"/>
          <w:numId w:val="2"/>
        </w:numPr>
        <w:spacing w:after="60" w:line="276"/>
      </w:pPr>
      <w:r>
        <w:rPr>
          <w:b w:val="false"/>
          <w:bCs w:val="false"/>
          <w:i w:val="false"/>
          <w:iCs w:val="false"/>
          <w:color w:val="1A2330"/>
          <w:sz w:val="22"/>
          <w:szCs w:val="22"/>
        </w:rPr>
        <w:t xml:space="preserve">Access to sensitive data</w:t>
      </w:r>
    </w:p>
    <w:p>
      <w:pPr>
        <w:pStyle w:val="ListParagraph"/>
        <w:numPr>
          <w:ilvl w:val="1"/>
          <w:numId w:val="2"/>
        </w:numPr>
        <w:spacing w:after="60" w:line="276"/>
      </w:pPr>
      <w:r>
        <w:rPr>
          <w:b w:val="false"/>
          <w:bCs w:val="false"/>
          <w:i w:val="false"/>
          <w:iCs w:val="false"/>
          <w:color w:val="1A2330"/>
          <w:sz w:val="22"/>
          <w:szCs w:val="22"/>
        </w:rPr>
        <w:t xml:space="preserve">Unusual network traffic</w:t>
      </w:r>
    </w:p>
    <w:p>
      <w:pPr>
        <w:pStyle w:val="ListParagraph"/>
        <w:numPr>
          <w:ilvl w:val="1"/>
          <w:numId w:val="2"/>
        </w:numPr>
        <w:spacing w:after="60" w:line="276"/>
      </w:pPr>
      <w:r>
        <w:rPr>
          <w:b w:val="false"/>
          <w:bCs w:val="false"/>
          <w:i w:val="false"/>
          <w:iCs w:val="false"/>
          <w:color w:val="1A2330"/>
          <w:sz w:val="22"/>
          <w:szCs w:val="22"/>
        </w:rPr>
        <w:t xml:space="preserve">Deployment outside approved hours</w:t>
      </w:r>
    </w:p>
    <w:p>
      <w:pPr>
        <w:pStyle w:val="Heading1"/>
      </w:pPr>
      <w:r>
        <w:t xml:space="preserve">Real-Time Monitoring (A.8.17)</w:t>
      </w:r>
    </w:p>
    <w:p>
      <w:pPr>
        <w:pStyle w:val="ListParagraph"/>
        <w:numPr>
          <w:ilvl w:val="0"/>
          <w:numId w:val="2"/>
        </w:numPr>
        <w:spacing w:after="60" w:line="276"/>
      </w:pPr>
      <w:r>
        <w:rPr>
          <w:b w:val="false"/>
          <w:bCs w:val="false"/>
          <w:i w:val="false"/>
          <w:iCs w:val="false"/>
          <w:color w:val="1A2330"/>
          <w:sz w:val="22"/>
          <w:szCs w:val="22"/>
        </w:rPr>
        <w:t xml:space="preserve">Continuous monitoring is performed for:</w:t>
      </w:r>
    </w:p>
    <w:p>
      <w:pPr>
        <w:pStyle w:val="ListParagraph"/>
        <w:numPr>
          <w:ilvl w:val="1"/>
          <w:numId w:val="2"/>
        </w:numPr>
        <w:spacing w:after="60" w:line="276"/>
      </w:pPr>
      <w:r>
        <w:rPr>
          <w:b w:val="false"/>
          <w:bCs w:val="false"/>
          <w:i w:val="false"/>
          <w:iCs w:val="false"/>
          <w:color w:val="1A2330"/>
          <w:sz w:val="22"/>
          <w:szCs w:val="22"/>
        </w:rPr>
        <w:t xml:space="preserve">SaaS application health</w:t>
      </w:r>
    </w:p>
    <w:p>
      <w:pPr>
        <w:pStyle w:val="ListParagraph"/>
        <w:numPr>
          <w:ilvl w:val="1"/>
          <w:numId w:val="2"/>
        </w:numPr>
        <w:spacing w:after="60" w:line="276"/>
      </w:pPr>
      <w:r>
        <w:rPr>
          <w:b w:val="false"/>
          <w:bCs w:val="false"/>
          <w:i w:val="false"/>
          <w:iCs w:val="false"/>
          <w:color w:val="1A2330"/>
          <w:sz w:val="22"/>
          <w:szCs w:val="22"/>
        </w:rPr>
        <w:t xml:space="preserve">Cloud infrastructure changes</w:t>
      </w:r>
    </w:p>
    <w:p>
      <w:pPr>
        <w:pStyle w:val="ListParagraph"/>
        <w:numPr>
          <w:ilvl w:val="1"/>
          <w:numId w:val="2"/>
        </w:numPr>
        <w:spacing w:after="60" w:line="276"/>
      </w:pPr>
      <w:r>
        <w:rPr>
          <w:b w:val="false"/>
          <w:bCs w:val="false"/>
          <w:i w:val="false"/>
          <w:iCs w:val="false"/>
          <w:color w:val="1A2330"/>
          <w:sz w:val="22"/>
          <w:szCs w:val="22"/>
        </w:rPr>
        <w:t xml:space="preserve">IAM role misuse or privilege escalation</w:t>
      </w:r>
    </w:p>
    <w:p>
      <w:pPr>
        <w:pStyle w:val="ListParagraph"/>
        <w:numPr>
          <w:ilvl w:val="0"/>
          <w:numId w:val="2"/>
        </w:numPr>
        <w:spacing w:after="60" w:line="276"/>
      </w:pPr>
      <w:r>
        <w:rPr>
          <w:b w:val="false"/>
          <w:bCs w:val="false"/>
          <w:i w:val="false"/>
          <w:iCs w:val="false"/>
          <w:color w:val="1A2330"/>
          <w:sz w:val="22"/>
          <w:szCs w:val="22"/>
        </w:rPr>
        <w:t xml:space="preserve">Alerts are triaged by the Information Security Analyst</w:t>
      </w:r>
    </w:p>
    <w:p>
      <w:pPr>
        <w:pStyle w:val="ListParagraph"/>
        <w:numPr>
          <w:ilvl w:val="0"/>
          <w:numId w:val="2"/>
        </w:numPr>
        <w:spacing w:after="60" w:line="276"/>
      </w:pPr>
      <w:r>
        <w:rPr>
          <w:b w:val="false"/>
          <w:bCs w:val="false"/>
          <w:i w:val="false"/>
          <w:iCs w:val="false"/>
          <w:color w:val="1A2330"/>
          <w:sz w:val="22"/>
          <w:szCs w:val="22"/>
        </w:rPr>
        <w:t xml:space="preserve">Critical alerts are escalated to the Information Security Manager within 1 hour</w:t>
      </w:r>
    </w:p>
    <w:p>
      <w:pPr>
        <w:pStyle w:val="Heading1"/>
      </w:pPr>
      <w:r>
        <w:t xml:space="preserve">Integration with Incident Management</w:t>
      </w:r>
    </w:p>
    <w:p>
      <w:pPr>
        <w:pStyle w:val="ListParagraph"/>
        <w:numPr>
          <w:ilvl w:val="0"/>
          <w:numId w:val="2"/>
        </w:numPr>
        <w:spacing w:after="60" w:line="276"/>
      </w:pPr>
      <w:r>
        <w:rPr>
          <w:b w:val="false"/>
          <w:bCs w:val="false"/>
          <w:i w:val="false"/>
          <w:iCs w:val="false"/>
          <w:color w:val="1A2330"/>
          <w:sz w:val="22"/>
          <w:szCs w:val="22"/>
        </w:rPr>
        <w:t xml:space="preserve">All log events that indicate suspicious activity are escalated per the Incident Management Policy</w:t>
      </w:r>
    </w:p>
    <w:p>
      <w:pPr>
        <w:pStyle w:val="ListParagraph"/>
        <w:numPr>
          <w:ilvl w:val="0"/>
          <w:numId w:val="2"/>
        </w:numPr>
        <w:spacing w:after="60" w:line="276"/>
      </w:pPr>
      <w:r>
        <w:rPr>
          <w:b w:val="false"/>
          <w:bCs w:val="false"/>
          <w:i w:val="false"/>
          <w:iCs w:val="false"/>
          <w:color w:val="1A2330"/>
          <w:sz w:val="22"/>
          <w:szCs w:val="22"/>
        </w:rPr>
        <w:t xml:space="preserve">Logs serve as evidence for internal investigation and post-incident review</w:t>
      </w:r>
    </w:p>
    <w:p>
      <w:pPr>
        <w:pStyle w:val="Heading1"/>
      </w:pPr>
      <w: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Role</w:t>
            </w:r>
          </w:p>
        </w:tc>
        <w:tc>
          <w:tcPr>
            <w:tcW w:type="dxa" w:w="66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Responsibility</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Information Security Analyst</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Triage alerts, conduct regular log reviews</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Infrastructure Engineer</w:t>
            </w:r>
          </w:p>
        </w:tc>
        <w:tc>
          <w:tcPr>
            <w:tcW w:type="dxa" w:w="6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Ensure logging agents are deployed and functioning</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GRC Analyst</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Verify log retention and review compliance</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IS Manager</w:t>
            </w:r>
          </w:p>
        </w:tc>
        <w:tc>
          <w:tcPr>
            <w:tcW w:type="dxa" w:w="6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Oversee monitoring policy, update procedures, and approve exceptions</w:t>
            </w:r>
          </w:p>
        </w:tc>
      </w:tr>
    </w:tbl>
    <w:p>
      <w:pPr>
        <w:pStyle w:val="Heading1"/>
      </w:pPr>
      <w:r>
        <w:t xml:space="preserve">Compliance and Auditing</w:t>
      </w:r>
    </w:p>
    <w:p>
      <w:pPr>
        <w:pStyle w:val="ListParagraph"/>
        <w:numPr>
          <w:ilvl w:val="0"/>
          <w:numId w:val="2"/>
        </w:numPr>
        <w:spacing w:after="60" w:line="276"/>
      </w:pPr>
      <w:r>
        <w:rPr>
          <w:b w:val="false"/>
          <w:bCs w:val="false"/>
          <w:i w:val="false"/>
          <w:iCs w:val="false"/>
          <w:color w:val="1A2330"/>
          <w:sz w:val="22"/>
          <w:szCs w:val="22"/>
        </w:rPr>
        <w:t xml:space="preserve">Logging is auditable and aligned with:</w:t>
      </w:r>
    </w:p>
    <w:p>
      <w:pPr>
        <w:pStyle w:val="ListParagraph"/>
        <w:numPr>
          <w:ilvl w:val="1"/>
          <w:numId w:val="2"/>
        </w:numPr>
        <w:spacing w:after="60" w:line="276"/>
      </w:pPr>
      <w:r>
        <w:rPr>
          <w:b w:val="false"/>
          <w:bCs w:val="false"/>
          <w:i w:val="false"/>
          <w:iCs w:val="false"/>
          <w:color w:val="1A2330"/>
          <w:sz w:val="22"/>
          <w:szCs w:val="22"/>
        </w:rPr>
        <w:t xml:space="preserve">ISO 27001</w:t>
      </w:r>
    </w:p>
    <w:p>
      <w:pPr>
        <w:pStyle w:val="ListParagraph"/>
        <w:numPr>
          <w:ilvl w:val="1"/>
          <w:numId w:val="2"/>
        </w:numPr>
        <w:spacing w:after="60" w:line="276"/>
      </w:pPr>
      <w:r>
        <w:rPr>
          <w:b w:val="false"/>
          <w:bCs w:val="false"/>
          <w:i w:val="false"/>
          <w:iCs w:val="false"/>
          <w:color w:val="1A2330"/>
          <w:sz w:val="22"/>
          <w:szCs w:val="22"/>
        </w:rPr>
        <w:t xml:space="preserve">Customer SLAs and due diligence requirements</w:t>
      </w:r>
    </w:p>
    <w:p>
      <w:pPr>
        <w:pStyle w:val="ListParagraph"/>
        <w:numPr>
          <w:ilvl w:val="0"/>
          <w:numId w:val="2"/>
        </w:numPr>
        <w:spacing w:after="60" w:line="276"/>
      </w:pPr>
      <w:r>
        <w:rPr>
          <w:b w:val="false"/>
          <w:bCs w:val="false"/>
          <w:i w:val="false"/>
          <w:iCs w:val="false"/>
          <w:color w:val="1A2330"/>
          <w:sz w:val="22"/>
          <w:szCs w:val="22"/>
        </w:rPr>
        <w:t xml:space="preserve">Quarterly internal audits are conducted on:</w:t>
      </w:r>
    </w:p>
    <w:p>
      <w:pPr>
        <w:pStyle w:val="ListParagraph"/>
        <w:numPr>
          <w:ilvl w:val="1"/>
          <w:numId w:val="2"/>
        </w:numPr>
        <w:spacing w:after="60" w:line="276"/>
      </w:pPr>
      <w:r>
        <w:rPr>
          <w:b w:val="false"/>
          <w:bCs w:val="false"/>
          <w:i w:val="false"/>
          <w:iCs w:val="false"/>
          <w:color w:val="1A2330"/>
          <w:sz w:val="22"/>
          <w:szCs w:val="22"/>
        </w:rPr>
        <w:t xml:space="preserve">Log integrity</w:t>
      </w:r>
    </w:p>
    <w:p>
      <w:pPr>
        <w:pStyle w:val="ListParagraph"/>
        <w:numPr>
          <w:ilvl w:val="1"/>
          <w:numId w:val="2"/>
        </w:numPr>
        <w:spacing w:after="60" w:line="276"/>
      </w:pPr>
      <w:r>
        <w:rPr>
          <w:b w:val="false"/>
          <w:bCs w:val="false"/>
          <w:i w:val="false"/>
          <w:iCs w:val="false"/>
          <w:color w:val="1A2330"/>
          <w:sz w:val="22"/>
          <w:szCs w:val="22"/>
        </w:rPr>
        <w:t xml:space="preserve">Review completeness</w:t>
      </w:r>
    </w:p>
    <w:p>
      <w:pPr>
        <w:pStyle w:val="ListParagraph"/>
        <w:numPr>
          <w:ilvl w:val="1"/>
          <w:numId w:val="2"/>
        </w:numPr>
        <w:spacing w:after="60" w:line="276"/>
      </w:pPr>
      <w:r>
        <w:rPr>
          <w:b w:val="false"/>
          <w:bCs w:val="false"/>
          <w:i w:val="false"/>
          <w:iCs w:val="false"/>
          <w:color w:val="1A2330"/>
          <w:sz w:val="22"/>
          <w:szCs w:val="22"/>
        </w:rPr>
        <w:t xml:space="preserve">Alerting thresholds</w:t>
      </w:r>
    </w:p>
    <w:p>
      <w:pPr>
        <w:pStyle w:val="Heading1"/>
      </w:pPr>
      <w:r>
        <w:t xml:space="preserve">Exceptions</w:t>
      </w:r>
    </w:p>
    <w:p>
      <w:pPr>
        <w:spacing w:after="60" w:line="276"/>
        <w:jc w:val="left"/>
      </w:pPr>
      <w:r>
        <w:rPr>
          <w:b w:val="false"/>
          <w:bCs w:val="false"/>
          <w:i w:val="false"/>
          <w:iCs w:val="false"/>
          <w:color w:val="1A2330"/>
          <w:sz w:val="22"/>
          <w:szCs w:val="22"/>
        </w:rPr>
        <w:t xml:space="preserve">Any exceptions to this policy must be:</w:t>
      </w:r>
    </w:p>
    <w:p>
      <w:pPr>
        <w:pStyle w:val="ListParagraph"/>
        <w:numPr>
          <w:ilvl w:val="0"/>
          <w:numId w:val="2"/>
        </w:numPr>
        <w:spacing w:after="60" w:line="276"/>
      </w:pPr>
      <w:r>
        <w:rPr>
          <w:b w:val="false"/>
          <w:bCs w:val="false"/>
          <w:i w:val="false"/>
          <w:iCs w:val="false"/>
          <w:color w:val="1A2330"/>
          <w:sz w:val="22"/>
          <w:szCs w:val="22"/>
        </w:rPr>
        <w:t xml:space="preserve">Documented with a valid justification</w:t>
      </w:r>
    </w:p>
    <w:p>
      <w:pPr>
        <w:pStyle w:val="ListParagraph"/>
        <w:numPr>
          <w:ilvl w:val="0"/>
          <w:numId w:val="2"/>
        </w:numPr>
        <w:spacing w:after="60" w:line="276"/>
      </w:pPr>
      <w:r>
        <w:rPr>
          <w:b w:val="false"/>
          <w:bCs w:val="false"/>
          <w:i w:val="false"/>
          <w:iCs w:val="false"/>
          <w:color w:val="1A2330"/>
          <w:sz w:val="22"/>
          <w:szCs w:val="22"/>
        </w:rPr>
        <w:t xml:space="preserve">Reviewed and approved by the Information Security Manager</w:t>
      </w:r>
    </w:p>
    <w:p>
      <w:pPr>
        <w:pStyle w:val="Heading1"/>
      </w:pPr>
      <w:r>
        <w:t xml:space="preserve">Policy Review</w:t>
      </w:r>
    </w:p>
    <w:p>
      <w:pPr>
        <w:spacing w:after="160" w:line="276"/>
        <w:jc w:val="both"/>
      </w:pPr>
      <w:r>
        <w:rPr>
          <w:b w:val="false"/>
          <w:bCs w:val="false"/>
          <w:i w:val="false"/>
          <w:iCs w:val="false"/>
          <w:color w:val="1A2330"/>
          <w:sz w:val="22"/>
          <w:szCs w:val="22"/>
        </w:rPr>
        <w:t xml:space="preserve">This policy is reviewed annually or upon significant change to the environment or regulatory requirements.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Monitoring &amp; Logging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2026-06-06T11:39:50.456Z</dcterms:created>
  <dcterms:modified xsi:type="dcterms:W3CDTF">2026-06-06T11:39:50.456Z</dcterms:modified>
</cp:coreProperties>
</file>

<file path=docProps/custom.xml><?xml version="1.0" encoding="utf-8"?>
<Properties xmlns="http://schemas.openxmlformats.org/officeDocument/2006/custom-properties" xmlns:vt="http://schemas.openxmlformats.org/officeDocument/2006/docPropsVTypes"/>
</file>