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Supplier and Vendor Management Policy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(A.5.19 - A.5.22)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ensures that all third-party vendors, suppliers, and service providers engaged by Stark Industries Inc. are evaluated, monitored, and governed in a manner that protects the confidentiality, integrity, and availability of information systems and services. This policy is aligned with ISO/IEC 27001:2022 (A.5.19 - A.5.22).</w:t>
      </w:r>
    </w:p>
    <w:p>
      <w:pPr>
        <w:pStyle w:val="Heading1"/>
      </w:pPr>
      <w:r>
        <w:t xml:space="preserve">Scope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Applies to all suppliers and vendors providing products or services that could impact the ISMS, including cloud services (e.g. AWS, GitHub), SaaS tools, development partners, managed service providers, and consultants.</w:t>
      </w:r>
    </w:p>
    <w:p>
      <w:pPr>
        <w:pStyle w:val="Heading1"/>
      </w:pPr>
      <w:r>
        <w:t xml:space="preserve">Policy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Ensure suppliers meet security and compliance requirements.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Reduce third-party risk through due diligence and oversight.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Protect Stark Industries' systems, data, and reputation.</w:t>
      </w:r>
    </w:p>
    <w:p>
      <w:pPr>
        <w:pStyle w:val="Heading1"/>
      </w:pPr>
      <w:r>
        <w:t xml:space="preserve">Supplier Lifecycle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Identification &amp; Classification (A.5.19)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Suppliers are categorised based on risk: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Critical: Have access to production systems or sensitive data (e.g. AWS)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Operational: Support internal tools or non-sensitive workflows (e.g. Jira)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Low-Risk: No system access, non-technical vendors (e.g. office supplies)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Risk Assessment (A.5.20)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critical and operational suppliers must undergo an initial risk assessment prior to onboarding.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Assessment includes: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Security certifications (e.g. ISO 27001, SOC 2)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Data handling practices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SLAs and availability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Legal and compliance checks (e.g. GDPR relevance)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Contractual Obligations (A.5.21)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vendor agreements must include: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Confidentiality and data protection clauses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Breach notification requirements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Right to audit or request evidence of security controls</w:t>
      </w:r>
    </w:p>
    <w:p>
      <w:pPr>
        <w:pStyle w:val="ListParagraph"/>
        <w:numPr>
          <w:ilvl w:val="2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Service level expectations (availability, support, patching)</w:t>
      </w:r>
    </w:p>
    <w:p>
      <w:pPr>
        <w:pStyle w:val="Heading1"/>
      </w:pPr>
      <w:r>
        <w:t xml:space="preserve">Monitoring and Review (A.5.22)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Critical vendors are reviewed at least annually.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Reviews may include: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Updated security reports or certifications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Performance and SLA reviews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Breach history or incident disclosures</w:t>
      </w:r>
    </w:p>
    <w:p>
      <w:pPr>
        <w:pStyle w:val="Heading1"/>
      </w:pPr>
      <w:r>
        <w:t xml:space="preserve">Offboarding and Exit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Upon contract termination: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access to Stark Industries systems must be revoked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Data must be securely returned or destroyed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Final audit or verification may be required</w:t>
      </w:r>
    </w:p>
    <w:p>
      <w:pPr>
        <w:pStyle w:val="Heading1"/>
      </w:pPr>
      <w: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Procurement / Legal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Ensure contracts include required clauses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Classify vendors, review risks, support audits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System Owners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Request vendor onboarding, monitor performance</w:t>
            </w:r>
          </w:p>
        </w:tc>
      </w:tr>
    </w:tbl>
    <w:p>
      <w:pPr>
        <w:pStyle w:val="Heading1"/>
      </w:pPr>
      <w: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Exceptions must be: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Documented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Approved by the Information Security Manager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Mitigated with alternative controls where feasible</w:t>
      </w:r>
    </w:p>
    <w:p>
      <w:pPr>
        <w:pStyle w:val="Heading1"/>
      </w:pPr>
      <w:r>
        <w:t xml:space="preserve">Policy Review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is reviewed annually or upon significant change to the environment or regulatory requirements.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Supplier and Vendor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2026-06-07T08:49:05.998Z</dcterms:created>
  <dcterms:modified xsi:type="dcterms:W3CDTF">2026-06-07T08:49:05.999Z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