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Training &amp; Awareness Policy</w:t>
      </w:r>
    </w:p>
    <w:p>
      <w:pPr>
        <w:spacing w:after="0" w:before="360"/>
        <w:jc w:val="center"/>
      </w:pPr>
      <w:r>
        <w:rPr>
          <w:i/>
          <w:iCs/>
          <w:color w:val="666666"/>
          <w:sz w:val="24"/>
          <w:szCs w:val="24"/>
        </w:rPr>
        <w:t xml:space="preserve">Stark Industries Inc. - ISMS (A.6.3 - A.6.5)</w:t>
      </w:r>
    </w:p>
    <w:p>
      <w:pPr>
        <w:spacing w:after="0" w:before="2400"/>
        <w:jc w:val="center"/>
      </w:pPr>
      <w:r>
        <w:rPr>
          <w:color w:val="666666"/>
          <w:sz w:val="20"/>
          <w:szCs w:val="20"/>
        </w:rPr>
        <w:t xml:space="preserve">Author: Nirmay Soni, Cyber Security GRC Analyst</w:t>
      </w:r>
    </w:p>
    <w:p>
      <w:pPr>
        <w:spacing w:after="0" w:before="100"/>
        <w:jc w:val="center"/>
      </w:pPr>
      <w:r>
        <w:rPr>
          <w:color w:val="666666"/>
          <w:sz w:val="20"/>
          <w:szCs w:val="20"/>
        </w:rPr>
        <w:t xml:space="preserve">Approved by: Happy Hogan, Information Security Manager</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Date</w:t>
            </w:r>
          </w:p>
        </w:tc>
        <w:tc>
          <w:tcPr>
            <w:tcW w:type="dxa" w:w="9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Version</w:t>
            </w:r>
          </w:p>
        </w:tc>
        <w:tc>
          <w:tcPr>
            <w:tcW w:type="dxa" w:w="10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Author</w:t>
            </w:r>
          </w:p>
        </w:tc>
        <w:tc>
          <w:tcPr>
            <w:tcW w:type="dxa" w:w="14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Description</w:t>
            </w:r>
          </w:p>
        </w:tc>
        <w:tc>
          <w:tcPr>
            <w:tcW w:type="dxa" w:w="118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Approved By</w:t>
            </w:r>
          </w:p>
        </w:tc>
        <w:tc>
          <w:tcPr>
            <w:tcW w:type="dxa" w:w="118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Last Updated</w:t>
            </w:r>
          </w:p>
        </w:tc>
        <w:tc>
          <w:tcPr>
            <w:tcW w:type="dxa" w:w="13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Review Frequency</w:t>
            </w:r>
          </w:p>
        </w:tc>
        <w:tc>
          <w:tcPr>
            <w:tcW w:type="dxa" w:w="12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Next Review</w:t>
            </w:r>
          </w:p>
        </w:tc>
      </w:tr>
      <w:tr>
        <w:tc>
          <w:tcPr>
            <w:tcW w:type="dxa" w:w="10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15 Jan 2026</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1.0</w:t>
            </w:r>
          </w:p>
        </w:tc>
        <w:tc>
          <w:tcPr>
            <w:tcW w:type="dxa" w:w="10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Nirmay Soni</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Initial issue</w:t>
            </w:r>
          </w:p>
        </w:tc>
        <w:tc>
          <w:tcPr>
            <w:tcW w:type="dxa" w:w="1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Happy Hogan</w:t>
            </w:r>
          </w:p>
        </w:tc>
        <w:tc>
          <w:tcPr>
            <w:tcW w:type="dxa" w:w="1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15 Jan 2026</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Annual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Jan 2027</w:t>
            </w:r>
          </w:p>
        </w:tc>
      </w:tr>
    </w:tbl>
    <w:p>
      <w:pPr>
        <w:pStyle w:val="Heading1"/>
      </w:pPr>
      <w:r>
        <w:t xml:space="preserve">Purpose</w:t>
      </w:r>
    </w:p>
    <w:p>
      <w:pPr>
        <w:spacing w:after="160" w:line="276"/>
        <w:jc w:val="both"/>
      </w:pPr>
      <w:r>
        <w:rPr>
          <w:b w:val="false"/>
          <w:bCs w:val="false"/>
          <w:i w:val="false"/>
          <w:iCs w:val="false"/>
          <w:color w:val="1A2330"/>
          <w:sz w:val="22"/>
          <w:szCs w:val="22"/>
        </w:rPr>
        <w:t xml:space="preserve">This policy establishes the requirements for security awareness, education, and training to ensure that all Stark Industries personnel understand their responsibilities in maintaining the confidentiality, integrity, and availability of information assets. This policy is aligned with ISO/IEC 27001:2022 (A.6.3 - A.6.5).</w:t>
      </w:r>
    </w:p>
    <w:p>
      <w:pPr>
        <w:pStyle w:val="Heading1"/>
      </w:pPr>
      <w:r>
        <w:t xml:space="preserve">Scope</w:t>
      </w:r>
    </w:p>
    <w:p>
      <w:pPr>
        <w:spacing w:after="160" w:line="276"/>
        <w:jc w:val="both"/>
      </w:pPr>
      <w:r>
        <w:rPr>
          <w:b w:val="false"/>
          <w:bCs w:val="false"/>
          <w:i w:val="false"/>
          <w:iCs w:val="false"/>
          <w:color w:val="1A2330"/>
          <w:sz w:val="22"/>
          <w:szCs w:val="22"/>
        </w:rPr>
        <w:t xml:space="preserve">Applies to all Stark Industries employees, contractors, interns, and third-party users who have access to the organisation's systems, applications, or data.</w:t>
      </w:r>
    </w:p>
    <w:p>
      <w:pPr>
        <w:pStyle w:val="Heading1"/>
      </w:pPr>
      <w:r>
        <w:t xml:space="preserve">Objectives</w:t>
      </w:r>
    </w:p>
    <w:p>
      <w:pPr>
        <w:pStyle w:val="ListParagraph"/>
        <w:numPr>
          <w:ilvl w:val="0"/>
          <w:numId w:val="2"/>
        </w:numPr>
        <w:spacing w:after="60" w:line="276"/>
      </w:pPr>
      <w:r>
        <w:rPr>
          <w:b w:val="false"/>
          <w:bCs w:val="false"/>
          <w:i w:val="false"/>
          <w:iCs w:val="false"/>
          <w:color w:val="1A2330"/>
          <w:sz w:val="22"/>
          <w:szCs w:val="22"/>
        </w:rPr>
        <w:t xml:space="preserve">Ensure that employees are aware of their information security responsibilities</w:t>
      </w:r>
    </w:p>
    <w:p>
      <w:pPr>
        <w:pStyle w:val="ListParagraph"/>
        <w:numPr>
          <w:ilvl w:val="0"/>
          <w:numId w:val="2"/>
        </w:numPr>
        <w:spacing w:after="60" w:line="276"/>
      </w:pPr>
      <w:r>
        <w:rPr>
          <w:b w:val="false"/>
          <w:bCs w:val="false"/>
          <w:i w:val="false"/>
          <w:iCs w:val="false"/>
          <w:color w:val="1A2330"/>
          <w:sz w:val="22"/>
          <w:szCs w:val="22"/>
        </w:rPr>
        <w:t xml:space="preserve">Provide training appropriate to roles and access levels</w:t>
      </w:r>
    </w:p>
    <w:p>
      <w:pPr>
        <w:pStyle w:val="ListParagraph"/>
        <w:numPr>
          <w:ilvl w:val="0"/>
          <w:numId w:val="2"/>
        </w:numPr>
        <w:spacing w:after="60" w:line="276"/>
      </w:pPr>
      <w:r>
        <w:rPr>
          <w:b w:val="false"/>
          <w:bCs w:val="false"/>
          <w:i w:val="false"/>
          <w:iCs w:val="false"/>
          <w:color w:val="1A2330"/>
          <w:sz w:val="22"/>
          <w:szCs w:val="22"/>
        </w:rPr>
        <w:t xml:space="preserve">Foster a security-aware culture across the organisation</w:t>
      </w:r>
    </w:p>
    <w:p>
      <w:pPr>
        <w:pStyle w:val="Heading1"/>
      </w:pPr>
      <w:r>
        <w:t xml:space="preserve">Induction Training (A.6.3)</w:t>
      </w:r>
    </w:p>
    <w:p>
      <w:pPr>
        <w:pStyle w:val="ListParagraph"/>
        <w:numPr>
          <w:ilvl w:val="0"/>
          <w:numId w:val="2"/>
        </w:numPr>
        <w:spacing w:after="60" w:line="276"/>
      </w:pPr>
      <w:r>
        <w:rPr>
          <w:b w:val="false"/>
          <w:bCs w:val="false"/>
          <w:i w:val="false"/>
          <w:iCs w:val="false"/>
          <w:color w:val="1A2330"/>
          <w:sz w:val="22"/>
          <w:szCs w:val="22"/>
        </w:rPr>
        <w:t xml:space="preserve">All new hires must complete mandatory information security awareness training within 30 days of joining.</w:t>
      </w:r>
    </w:p>
    <w:p>
      <w:pPr>
        <w:pStyle w:val="ListParagraph"/>
        <w:numPr>
          <w:ilvl w:val="0"/>
          <w:numId w:val="2"/>
        </w:numPr>
        <w:spacing w:after="60" w:line="276"/>
      </w:pPr>
      <w:r>
        <w:rPr>
          <w:b w:val="false"/>
          <w:bCs w:val="false"/>
          <w:i w:val="false"/>
          <w:iCs w:val="false"/>
          <w:color w:val="1A2330"/>
          <w:sz w:val="22"/>
          <w:szCs w:val="22"/>
        </w:rPr>
        <w:t xml:space="preserve">Induction training includes:</w:t>
      </w:r>
    </w:p>
    <w:p>
      <w:pPr>
        <w:pStyle w:val="ListParagraph"/>
        <w:numPr>
          <w:ilvl w:val="1"/>
          <w:numId w:val="2"/>
        </w:numPr>
        <w:spacing w:after="60" w:line="276"/>
      </w:pPr>
      <w:r>
        <w:rPr>
          <w:b w:val="false"/>
          <w:bCs w:val="false"/>
          <w:i w:val="false"/>
          <w:iCs w:val="false"/>
          <w:color w:val="1A2330"/>
          <w:sz w:val="22"/>
          <w:szCs w:val="22"/>
        </w:rPr>
        <w:t xml:space="preserve">Overview of the ISMS</w:t>
      </w:r>
    </w:p>
    <w:p>
      <w:pPr>
        <w:pStyle w:val="ListParagraph"/>
        <w:numPr>
          <w:ilvl w:val="1"/>
          <w:numId w:val="2"/>
        </w:numPr>
        <w:spacing w:after="60" w:line="276"/>
      </w:pPr>
      <w:r>
        <w:rPr>
          <w:b w:val="false"/>
          <w:bCs w:val="false"/>
          <w:i w:val="false"/>
          <w:iCs w:val="false"/>
          <w:color w:val="1A2330"/>
          <w:sz w:val="22"/>
          <w:szCs w:val="22"/>
        </w:rPr>
        <w:t xml:space="preserve">Secure use of systems and assets</w:t>
      </w:r>
    </w:p>
    <w:p>
      <w:pPr>
        <w:pStyle w:val="ListParagraph"/>
        <w:numPr>
          <w:ilvl w:val="1"/>
          <w:numId w:val="2"/>
        </w:numPr>
        <w:spacing w:after="60" w:line="276"/>
      </w:pPr>
      <w:r>
        <w:rPr>
          <w:b w:val="false"/>
          <w:bCs w:val="false"/>
          <w:i w:val="false"/>
          <w:iCs w:val="false"/>
          <w:color w:val="1A2330"/>
          <w:sz w:val="22"/>
          <w:szCs w:val="22"/>
        </w:rPr>
        <w:t xml:space="preserve">Data protection basics</w:t>
      </w:r>
    </w:p>
    <w:p>
      <w:pPr>
        <w:pStyle w:val="ListParagraph"/>
        <w:numPr>
          <w:ilvl w:val="1"/>
          <w:numId w:val="2"/>
        </w:numPr>
        <w:spacing w:after="60" w:line="276"/>
      </w:pPr>
      <w:r>
        <w:rPr>
          <w:b w:val="false"/>
          <w:bCs w:val="false"/>
          <w:i w:val="false"/>
          <w:iCs w:val="false"/>
          <w:color w:val="1A2330"/>
          <w:sz w:val="22"/>
          <w:szCs w:val="22"/>
        </w:rPr>
        <w:t xml:space="preserve">How to report a security incident</w:t>
      </w:r>
    </w:p>
    <w:p>
      <w:pPr>
        <w:pStyle w:val="Heading1"/>
      </w:pPr>
      <w:r>
        <w:t xml:space="preserve">Ongoing Awareness (A.6.4)</w:t>
      </w:r>
    </w:p>
    <w:p>
      <w:pPr>
        <w:pStyle w:val="ListParagraph"/>
        <w:numPr>
          <w:ilvl w:val="0"/>
          <w:numId w:val="2"/>
        </w:numPr>
        <w:spacing w:after="60" w:line="276"/>
      </w:pPr>
      <w:r>
        <w:rPr>
          <w:b w:val="false"/>
          <w:bCs w:val="false"/>
          <w:i w:val="false"/>
          <w:iCs w:val="false"/>
          <w:color w:val="1A2330"/>
          <w:sz w:val="22"/>
          <w:szCs w:val="22"/>
        </w:rPr>
        <w:t xml:space="preserve">Security awareness refresher training is required annually for all staff.</w:t>
      </w:r>
    </w:p>
    <w:p>
      <w:pPr>
        <w:pStyle w:val="ListParagraph"/>
        <w:numPr>
          <w:ilvl w:val="0"/>
          <w:numId w:val="2"/>
        </w:numPr>
        <w:spacing w:after="60" w:line="276"/>
      </w:pPr>
      <w:r>
        <w:rPr>
          <w:b w:val="false"/>
          <w:bCs w:val="false"/>
          <w:i w:val="false"/>
          <w:iCs w:val="false"/>
          <w:color w:val="1A2330"/>
          <w:sz w:val="22"/>
          <w:szCs w:val="22"/>
        </w:rPr>
        <w:t xml:space="preserve">Quarterly awareness campaigns (email, posters, Slack messages) will reinforce best practices.</w:t>
      </w:r>
    </w:p>
    <w:p>
      <w:pPr>
        <w:pStyle w:val="ListParagraph"/>
        <w:numPr>
          <w:ilvl w:val="0"/>
          <w:numId w:val="2"/>
        </w:numPr>
        <w:spacing w:after="60" w:line="276"/>
      </w:pPr>
      <w:r>
        <w:rPr>
          <w:b w:val="false"/>
          <w:bCs w:val="false"/>
          <w:i w:val="false"/>
          <w:iCs w:val="false"/>
          <w:color w:val="1A2330"/>
          <w:sz w:val="22"/>
          <w:szCs w:val="22"/>
        </w:rPr>
        <w:t xml:space="preserve">Employees must acknowledge major policy updates electronically.</w:t>
      </w:r>
    </w:p>
    <w:p>
      <w:pPr>
        <w:pStyle w:val="Heading1"/>
      </w:pPr>
      <w:r>
        <w:t xml:space="preserve">Role-Based Training (A.6.5)</w:t>
      </w:r>
    </w:p>
    <w:p>
      <w:pPr>
        <w:pStyle w:val="ListParagraph"/>
        <w:numPr>
          <w:ilvl w:val="0"/>
          <w:numId w:val="2"/>
        </w:numPr>
        <w:spacing w:after="60" w:line="276"/>
      </w:pPr>
      <w:r>
        <w:rPr>
          <w:b w:val="false"/>
          <w:bCs w:val="false"/>
          <w:i w:val="false"/>
          <w:iCs w:val="false"/>
          <w:color w:val="1A2330"/>
          <w:sz w:val="22"/>
          <w:szCs w:val="22"/>
        </w:rPr>
        <w:t xml:space="preserve">Additional, targeted training must be delivered to:</w:t>
      </w:r>
    </w:p>
    <w:p>
      <w:pPr>
        <w:pStyle w:val="ListParagraph"/>
        <w:numPr>
          <w:ilvl w:val="1"/>
          <w:numId w:val="2"/>
        </w:numPr>
        <w:spacing w:after="60" w:line="276"/>
      </w:pPr>
      <w:r>
        <w:rPr>
          <w:b/>
          <w:bCs/>
          <w:i w:val="false"/>
          <w:iCs w:val="false"/>
          <w:color w:val="1A2330"/>
          <w:sz w:val="22"/>
          <w:szCs w:val="22"/>
        </w:rPr>
        <w:t xml:space="preserve">Developers</w:t>
      </w:r>
      <w:r>
        <w:rPr>
          <w:b w:val="false"/>
          <w:bCs w:val="false"/>
          <w:i w:val="false"/>
          <w:iCs w:val="false"/>
          <w:color w:val="1A2330"/>
          <w:sz w:val="22"/>
          <w:szCs w:val="22"/>
        </w:rPr>
        <w:t xml:space="preserve"> - Secure coding practices, OWASP Top 10</w:t>
      </w:r>
    </w:p>
    <w:p>
      <w:pPr>
        <w:pStyle w:val="ListParagraph"/>
        <w:numPr>
          <w:ilvl w:val="1"/>
          <w:numId w:val="2"/>
        </w:numPr>
        <w:spacing w:after="60" w:line="276"/>
      </w:pPr>
      <w:r>
        <w:rPr>
          <w:b/>
          <w:bCs/>
          <w:i w:val="false"/>
          <w:iCs w:val="false"/>
          <w:color w:val="1A2330"/>
          <w:sz w:val="22"/>
          <w:szCs w:val="22"/>
        </w:rPr>
        <w:t xml:space="preserve">GRC/InfoSec staff</w:t>
      </w:r>
      <w:r>
        <w:rPr>
          <w:b w:val="false"/>
          <w:bCs w:val="false"/>
          <w:i w:val="false"/>
          <w:iCs w:val="false"/>
          <w:color w:val="1A2330"/>
          <w:sz w:val="22"/>
          <w:szCs w:val="22"/>
        </w:rPr>
        <w:t xml:space="preserve"> - ISO 27001, risk treatment, audit prep</w:t>
      </w:r>
    </w:p>
    <w:p>
      <w:pPr>
        <w:pStyle w:val="ListParagraph"/>
        <w:numPr>
          <w:ilvl w:val="1"/>
          <w:numId w:val="2"/>
        </w:numPr>
        <w:spacing w:after="60" w:line="276"/>
      </w:pPr>
      <w:r>
        <w:rPr>
          <w:b/>
          <w:bCs/>
          <w:i w:val="false"/>
          <w:iCs w:val="false"/>
          <w:color w:val="1A2330"/>
          <w:sz w:val="22"/>
          <w:szCs w:val="22"/>
        </w:rPr>
        <w:t xml:space="preserve">Privileged users</w:t>
      </w:r>
      <w:r>
        <w:rPr>
          <w:b w:val="false"/>
          <w:bCs w:val="false"/>
          <w:i w:val="false"/>
          <w:iCs w:val="false"/>
          <w:color w:val="1A2330"/>
          <w:sz w:val="22"/>
          <w:szCs w:val="22"/>
        </w:rPr>
        <w:t xml:space="preserve"> - Least privilege, system hardening, MFA</w:t>
      </w:r>
    </w:p>
    <w:p>
      <w:pPr>
        <w:pStyle w:val="ListParagraph"/>
        <w:numPr>
          <w:ilvl w:val="1"/>
          <w:numId w:val="2"/>
        </w:numPr>
        <w:spacing w:after="60" w:line="276"/>
      </w:pPr>
      <w:r>
        <w:rPr>
          <w:b/>
          <w:bCs/>
          <w:i w:val="false"/>
          <w:iCs w:val="false"/>
          <w:color w:val="1A2330"/>
          <w:sz w:val="22"/>
          <w:szCs w:val="22"/>
        </w:rPr>
        <w:t xml:space="preserve">Incident Responders</w:t>
      </w:r>
      <w:r>
        <w:rPr>
          <w:b w:val="false"/>
          <w:bCs w:val="false"/>
          <w:i w:val="false"/>
          <w:iCs w:val="false"/>
          <w:color w:val="1A2330"/>
          <w:sz w:val="22"/>
          <w:szCs w:val="22"/>
        </w:rPr>
        <w:t xml:space="preserve"> - IR procedures, evidence handling</w:t>
      </w:r>
    </w:p>
    <w:p>
      <w:pPr>
        <w:pStyle w:val="Heading1"/>
      </w:pPr>
      <w:r>
        <w:t xml:space="preserve">Training Records and Metrics</w:t>
      </w:r>
    </w:p>
    <w:p>
      <w:pPr>
        <w:pStyle w:val="ListParagraph"/>
        <w:numPr>
          <w:ilvl w:val="0"/>
          <w:numId w:val="2"/>
        </w:numPr>
        <w:spacing w:after="60" w:line="276"/>
      </w:pPr>
      <w:r>
        <w:rPr>
          <w:b w:val="false"/>
          <w:bCs w:val="false"/>
          <w:i w:val="false"/>
          <w:iCs w:val="false"/>
          <w:color w:val="1A2330"/>
          <w:sz w:val="22"/>
          <w:szCs w:val="22"/>
        </w:rPr>
        <w:t xml:space="preserve">Completion of all mandatory training is tracked by the GRC Analyst</w:t>
      </w:r>
    </w:p>
    <w:p>
      <w:pPr>
        <w:pStyle w:val="ListParagraph"/>
        <w:numPr>
          <w:ilvl w:val="0"/>
          <w:numId w:val="2"/>
        </w:numPr>
        <w:spacing w:after="60" w:line="276"/>
      </w:pPr>
      <w:r>
        <w:rPr>
          <w:b w:val="false"/>
          <w:bCs w:val="false"/>
          <w:i w:val="false"/>
          <w:iCs w:val="false"/>
          <w:color w:val="1A2330"/>
          <w:sz w:val="22"/>
          <w:szCs w:val="22"/>
        </w:rPr>
        <w:t xml:space="preserve">Monthly reports are submitted to the Information Security Manager</w:t>
      </w:r>
    </w:p>
    <w:p>
      <w:pPr>
        <w:pStyle w:val="ListParagraph"/>
        <w:numPr>
          <w:ilvl w:val="0"/>
          <w:numId w:val="2"/>
        </w:numPr>
        <w:spacing w:after="60" w:line="276"/>
      </w:pPr>
      <w:r>
        <w:rPr>
          <w:b w:val="false"/>
          <w:bCs w:val="false"/>
          <w:i w:val="false"/>
          <w:iCs w:val="false"/>
          <w:color w:val="1A2330"/>
          <w:sz w:val="22"/>
          <w:szCs w:val="22"/>
        </w:rPr>
        <w:t xml:space="preserve">Audit logs of participation are retained for at least 3 years</w:t>
      </w:r>
    </w:p>
    <w:p>
      <w:pPr>
        <w:pStyle w:val="Heading1"/>
      </w:pPr>
      <w:r>
        <w:t xml:space="preserve">Accountability</w:t>
      </w:r>
    </w:p>
    <w:p>
      <w:pPr>
        <w:pStyle w:val="ListParagraph"/>
        <w:numPr>
          <w:ilvl w:val="0"/>
          <w:numId w:val="2"/>
        </w:numPr>
        <w:spacing w:after="60" w:line="276"/>
      </w:pPr>
      <w:r>
        <w:rPr>
          <w:b w:val="false"/>
          <w:bCs w:val="false"/>
          <w:i w:val="false"/>
          <w:iCs w:val="false"/>
          <w:color w:val="1A2330"/>
          <w:sz w:val="22"/>
          <w:szCs w:val="22"/>
        </w:rPr>
        <w:t xml:space="preserve">Failure to complete required training may result in:</w:t>
      </w:r>
    </w:p>
    <w:p>
      <w:pPr>
        <w:pStyle w:val="ListParagraph"/>
        <w:numPr>
          <w:ilvl w:val="1"/>
          <w:numId w:val="2"/>
        </w:numPr>
        <w:spacing w:after="60" w:line="276"/>
      </w:pPr>
      <w:r>
        <w:rPr>
          <w:b w:val="false"/>
          <w:bCs w:val="false"/>
          <w:i w:val="false"/>
          <w:iCs w:val="false"/>
          <w:color w:val="1A2330"/>
          <w:sz w:val="22"/>
          <w:szCs w:val="22"/>
        </w:rPr>
        <w:t xml:space="preserve">Temporary restriction of access</w:t>
      </w:r>
    </w:p>
    <w:p>
      <w:pPr>
        <w:pStyle w:val="ListParagraph"/>
        <w:numPr>
          <w:ilvl w:val="1"/>
          <w:numId w:val="2"/>
        </w:numPr>
        <w:spacing w:after="60" w:line="276"/>
      </w:pPr>
      <w:r>
        <w:rPr>
          <w:b w:val="false"/>
          <w:bCs w:val="false"/>
          <w:i w:val="false"/>
          <w:iCs w:val="false"/>
          <w:color w:val="1A2330"/>
          <w:sz w:val="22"/>
          <w:szCs w:val="22"/>
        </w:rPr>
        <w:t xml:space="preserve">Disciplinary action</w:t>
      </w:r>
    </w:p>
    <w:p>
      <w:pPr>
        <w:pStyle w:val="ListParagraph"/>
        <w:numPr>
          <w:ilvl w:val="0"/>
          <w:numId w:val="2"/>
        </w:numPr>
        <w:spacing w:after="60" w:line="276"/>
      </w:pPr>
      <w:r>
        <w:rPr>
          <w:b w:val="false"/>
          <w:bCs w:val="false"/>
          <w:i w:val="false"/>
          <w:iCs w:val="false"/>
          <w:color w:val="1A2330"/>
          <w:sz w:val="22"/>
          <w:szCs w:val="22"/>
        </w:rPr>
        <w:t xml:space="preserve">Managers are responsible for ensuring their team's participation</w:t>
      </w:r>
    </w:p>
    <w:p>
      <w:pPr>
        <w:pStyle w:val="Heading1"/>
      </w:pPr>
      <w: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Role</w:t>
            </w:r>
          </w:p>
        </w:tc>
        <w:tc>
          <w:tcPr>
            <w:tcW w:type="dxa" w:w="66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Responsibility</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Information Security Manager</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Approves training content and ensures policy compliance</w:t>
            </w:r>
          </w:p>
        </w:tc>
      </w:tr>
      <w:tr>
        <w:tc>
          <w:tcPr>
            <w:tcW w:type="dxa" w:w="2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GRC Analyst</w:t>
            </w:r>
          </w:p>
        </w:tc>
        <w:tc>
          <w:tcPr>
            <w:tcW w:type="dxa" w:w="6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Tracks completion, maintains training logs, and issues reminders</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People &amp; Culture (HR)</w:t>
            </w:r>
          </w:p>
        </w:tc>
        <w:tc>
          <w:tcPr>
            <w:tcW w:type="dxa" w:w="6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Ensures onboarding training is delivered on time</w:t>
            </w:r>
          </w:p>
        </w:tc>
      </w:tr>
      <w:tr>
        <w:tc>
          <w:tcPr>
            <w:tcW w:type="dxa" w:w="27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All Employees</w:t>
            </w:r>
          </w:p>
        </w:tc>
        <w:tc>
          <w:tcPr>
            <w:tcW w:type="dxa" w:w="66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Complete training as required and follow guidance</w:t>
            </w:r>
          </w:p>
        </w:tc>
      </w:tr>
    </w:tbl>
    <w:p>
      <w:pPr>
        <w:pStyle w:val="Heading1"/>
      </w:pPr>
      <w:r>
        <w:t xml:space="preserve">Compliance and Auditing</w:t>
      </w:r>
    </w:p>
    <w:p>
      <w:pPr>
        <w:pStyle w:val="ListParagraph"/>
        <w:numPr>
          <w:ilvl w:val="0"/>
          <w:numId w:val="2"/>
        </w:numPr>
        <w:spacing w:after="60" w:line="276"/>
      </w:pPr>
      <w:r>
        <w:rPr>
          <w:b w:val="false"/>
          <w:bCs w:val="false"/>
          <w:i w:val="false"/>
          <w:iCs w:val="false"/>
          <w:color w:val="1A2330"/>
          <w:sz w:val="22"/>
          <w:szCs w:val="22"/>
        </w:rPr>
        <w:t xml:space="preserve">Logging is auditable and aligned with:</w:t>
      </w:r>
    </w:p>
    <w:p>
      <w:pPr>
        <w:pStyle w:val="ListParagraph"/>
        <w:numPr>
          <w:ilvl w:val="1"/>
          <w:numId w:val="2"/>
        </w:numPr>
        <w:spacing w:after="60" w:line="276"/>
      </w:pPr>
      <w:r>
        <w:rPr>
          <w:b w:val="false"/>
          <w:bCs w:val="false"/>
          <w:i w:val="false"/>
          <w:iCs w:val="false"/>
          <w:color w:val="1A2330"/>
          <w:sz w:val="22"/>
          <w:szCs w:val="22"/>
        </w:rPr>
        <w:t xml:space="preserve">ISO 27001</w:t>
      </w:r>
    </w:p>
    <w:p>
      <w:pPr>
        <w:pStyle w:val="ListParagraph"/>
        <w:numPr>
          <w:ilvl w:val="1"/>
          <w:numId w:val="2"/>
        </w:numPr>
        <w:spacing w:after="60" w:line="276"/>
      </w:pPr>
      <w:r>
        <w:rPr>
          <w:b w:val="false"/>
          <w:bCs w:val="false"/>
          <w:i w:val="false"/>
          <w:iCs w:val="false"/>
          <w:color w:val="1A2330"/>
          <w:sz w:val="22"/>
          <w:szCs w:val="22"/>
        </w:rPr>
        <w:t xml:space="preserve">Customer SLAs and due diligence requirements</w:t>
      </w:r>
    </w:p>
    <w:p>
      <w:pPr>
        <w:pStyle w:val="ListParagraph"/>
        <w:numPr>
          <w:ilvl w:val="0"/>
          <w:numId w:val="2"/>
        </w:numPr>
        <w:spacing w:after="60" w:line="276"/>
      </w:pPr>
      <w:r>
        <w:rPr>
          <w:b w:val="false"/>
          <w:bCs w:val="false"/>
          <w:i w:val="false"/>
          <w:iCs w:val="false"/>
          <w:color w:val="1A2330"/>
          <w:sz w:val="22"/>
          <w:szCs w:val="22"/>
        </w:rPr>
        <w:t xml:space="preserve">Quarterly internal audits are conducted on:</w:t>
      </w:r>
    </w:p>
    <w:p>
      <w:pPr>
        <w:pStyle w:val="ListParagraph"/>
        <w:numPr>
          <w:ilvl w:val="1"/>
          <w:numId w:val="2"/>
        </w:numPr>
        <w:spacing w:after="60" w:line="276"/>
      </w:pPr>
      <w:r>
        <w:rPr>
          <w:b w:val="false"/>
          <w:bCs w:val="false"/>
          <w:i w:val="false"/>
          <w:iCs w:val="false"/>
          <w:color w:val="1A2330"/>
          <w:sz w:val="22"/>
          <w:szCs w:val="22"/>
        </w:rPr>
        <w:t xml:space="preserve">Log integrity</w:t>
      </w:r>
    </w:p>
    <w:p>
      <w:pPr>
        <w:pStyle w:val="ListParagraph"/>
        <w:numPr>
          <w:ilvl w:val="1"/>
          <w:numId w:val="2"/>
        </w:numPr>
        <w:spacing w:after="60" w:line="276"/>
      </w:pPr>
      <w:r>
        <w:rPr>
          <w:b w:val="false"/>
          <w:bCs w:val="false"/>
          <w:i w:val="false"/>
          <w:iCs w:val="false"/>
          <w:color w:val="1A2330"/>
          <w:sz w:val="22"/>
          <w:szCs w:val="22"/>
        </w:rPr>
        <w:t xml:space="preserve">Review completeness</w:t>
      </w:r>
    </w:p>
    <w:p>
      <w:pPr>
        <w:pStyle w:val="ListParagraph"/>
        <w:numPr>
          <w:ilvl w:val="1"/>
          <w:numId w:val="2"/>
        </w:numPr>
        <w:spacing w:after="60" w:line="276"/>
      </w:pPr>
      <w:r>
        <w:rPr>
          <w:b w:val="false"/>
          <w:bCs w:val="false"/>
          <w:i w:val="false"/>
          <w:iCs w:val="false"/>
          <w:color w:val="1A2330"/>
          <w:sz w:val="22"/>
          <w:szCs w:val="22"/>
        </w:rPr>
        <w:t xml:space="preserve">Alerting thresholds</w:t>
      </w:r>
    </w:p>
    <w:p>
      <w:pPr>
        <w:pStyle w:val="Heading1"/>
      </w:pPr>
      <w:r>
        <w:t xml:space="preserve">Exceptions</w:t>
      </w:r>
    </w:p>
    <w:p>
      <w:pPr>
        <w:spacing w:after="60" w:line="276"/>
        <w:jc w:val="left"/>
      </w:pPr>
      <w:r>
        <w:rPr>
          <w:b w:val="false"/>
          <w:bCs w:val="false"/>
          <w:i w:val="false"/>
          <w:iCs w:val="false"/>
          <w:color w:val="1A2330"/>
          <w:sz w:val="22"/>
          <w:szCs w:val="22"/>
        </w:rPr>
        <w:t xml:space="preserve">Any exceptions to this policy must be:</w:t>
      </w:r>
    </w:p>
    <w:p>
      <w:pPr>
        <w:pStyle w:val="ListParagraph"/>
        <w:numPr>
          <w:ilvl w:val="0"/>
          <w:numId w:val="2"/>
        </w:numPr>
        <w:spacing w:after="60" w:line="276"/>
      </w:pPr>
      <w:r>
        <w:rPr>
          <w:b w:val="false"/>
          <w:bCs w:val="false"/>
          <w:i w:val="false"/>
          <w:iCs w:val="false"/>
          <w:color w:val="1A2330"/>
          <w:sz w:val="22"/>
          <w:szCs w:val="22"/>
        </w:rPr>
        <w:t xml:space="preserve">Documented with a valid justification</w:t>
      </w:r>
    </w:p>
    <w:p>
      <w:pPr>
        <w:pStyle w:val="ListParagraph"/>
        <w:numPr>
          <w:ilvl w:val="0"/>
          <w:numId w:val="2"/>
        </w:numPr>
        <w:spacing w:after="60" w:line="276"/>
      </w:pPr>
      <w:r>
        <w:rPr>
          <w:b w:val="false"/>
          <w:bCs w:val="false"/>
          <w:i w:val="false"/>
          <w:iCs w:val="false"/>
          <w:color w:val="1A2330"/>
          <w:sz w:val="22"/>
          <w:szCs w:val="22"/>
        </w:rPr>
        <w:t xml:space="preserve">Reviewed and approved by the Information Security Manager</w:t>
      </w:r>
    </w:p>
    <w:p>
      <w:pPr>
        <w:pStyle w:val="Heading1"/>
      </w:pPr>
      <w:r>
        <w:t xml:space="preserve">Policy Review</w:t>
      </w:r>
    </w:p>
    <w:p>
      <w:pPr>
        <w:spacing w:after="160" w:line="276"/>
        <w:jc w:val="both"/>
      </w:pPr>
      <w:r>
        <w:rPr>
          <w:b w:val="false"/>
          <w:bCs w:val="false"/>
          <w:i w:val="false"/>
          <w:iCs w:val="false"/>
          <w:color w:val="1A2330"/>
          <w:sz w:val="22"/>
          <w:szCs w:val="22"/>
        </w:rPr>
        <w:t xml:space="preserve">This policy is reviewed annually or upon significant change to the environment or regulatory requirements.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Training &amp; Awareness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2026-06-07T08:49:06.232Z</dcterms:created>
  <dcterms:modified xsi:type="dcterms:W3CDTF">2026-06-07T08:49:06.232Z</dcterms:modified>
</cp:coreProperties>
</file>

<file path=docProps/custom.xml><?xml version="1.0" encoding="utf-8"?>
<Properties xmlns="http://schemas.openxmlformats.org/officeDocument/2006/custom-properties" xmlns:vt="http://schemas.openxmlformats.org/officeDocument/2006/docPropsVTypes"/>
</file>