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80"/>
        </w:rPr>
        <w:t>clic2up-sign</w:t>
      </w:r>
    </w:p>
    <w:p>
      <w:pPr>
        <w:jc w:val="center"/>
      </w:pPr>
      <w:r>
        <w:rPr>
          <w:color w:val="64748B"/>
          <w:sz w:val="30"/>
        </w:rPr>
        <w:t>Service local de signature electronique</w:t>
        <w:br/>
        <w:t>pour factures ElFatoora / TEIF (Tunisie TradeNet)</w:t>
      </w:r>
    </w:p>
    <w:p/>
    <w:p/>
    <w:p>
      <w:pPr>
        <w:jc w:val="center"/>
      </w:pPr>
      <w:r>
        <w:rPr>
          <w:b/>
          <w:color w:val="475569"/>
          <w:sz w:val="28"/>
        </w:rPr>
        <w:t>SOCIETE WEBATG</w:t>
      </w:r>
    </w:p>
    <w:p/>
    <w:p/>
    <w:p/>
    <w:p/>
    <w:p/>
    <w:p/>
    <w:p>
      <w:pPr>
        <w:jc w:val="center"/>
      </w:pPr>
      <w:r>
        <w:rPr>
          <w:b/>
          <w:sz w:val="26"/>
        </w:rPr>
        <w:t>Version 1.0  —  Juin 2026</w:t>
      </w:r>
    </w:p>
    <w:p>
      <w:pPr>
        <w:jc w:val="center"/>
      </w:pPr>
      <w:r>
        <w:rPr>
          <w:color w:val="64748B"/>
          <w:sz w:val="22"/>
        </w:rPr>
        <w:t>Documentation technique, guide de signature et d'installation</w:t>
      </w:r>
    </w:p>
    <w:p>
      <w:pPr>
        <w:jc w:val="center"/>
      </w:pPr>
      <w:r>
        <w:rPr>
          <w:i/>
          <w:color w:val="64748B"/>
          <w:sz w:val="20"/>
        </w:rPr>
        <w:t>Conforme a la specification de signature ElFatoora V3.0</w:t>
      </w:r>
    </w:p>
    <w:p>
      <w:r>
        <w:br w:type="page"/>
      </w:r>
    </w:p>
    <w:p>
      <w:pPr>
        <w:pStyle w:val="Heading1"/>
      </w:pPr>
      <w:r>
        <w:rPr>
          <w:color w:val="2563EB"/>
          <w:sz w:val="36"/>
        </w:rPr>
        <w:t>1. Presentation generale</w:t>
      </w:r>
    </w:p>
    <w:p>
      <w:pPr>
        <w:pStyle w:val="Heading2"/>
      </w:pPr>
      <w:r>
        <w:rPr>
          <w:color w:val="1E3A5F"/>
          <w:sz w:val="28"/>
        </w:rPr>
        <w:t>1.1 Contexte et objectif</w:t>
      </w:r>
    </w:p>
    <w:p>
      <w:r>
        <w:rPr>
          <w:b w:val="0"/>
        </w:rPr>
        <w:t>clic2up-sign est un service local Windows qui permet a l'application web clic2up de signer electroniquement des factures au format TEIF (Tunisian Electronic Invoice Format) conformement aux specifications ElFatoora de Tunisie TradeNet (TTN), puis de les deposer sur la plateforme ElFatoora.</w:t>
      </w:r>
    </w:p>
    <w:p>
      <w:r>
        <w:rPr>
          <w:b w:val="0"/>
        </w:rPr>
        <w:t>La signature electronique qualifiee necessite un acces materiel a une cle USB cryptographique (token) contenant le certificat du signataire, delivre par l'ANCE (TunTrust). Un navigateur web ne pouvant pas acceder directement au materiel USB via PKCS#11, clic2up-sign fait office de pont entre l'application web et la cle USB via un serveur HTTP local (port 9876).</w:t>
      </w:r>
    </w:p>
    <w:p>
      <w:pPr>
        <w:shd w:val="clear" w:color="auto" w:fill="EFF6FF"/>
        <w:spacing w:before="120" w:after="160"/>
        <w:ind w:left="120"/>
      </w:pPr>
      <w:r>
        <w:rPr>
          <w:b/>
        </w:rPr>
        <w:t xml:space="preserve">Note : </w:t>
      </w:r>
      <w:r>
        <w:t>clic2up-sign joue le meme role que TunSign pour le portail ElFatoora, mais en utilisant PKCS#11 directement (aucune modification du registre Windows, aucun droit administrateur requis).</w:t>
      </w:r>
    </w:p>
    <w:p>
      <w:pPr>
        <w:pStyle w:val="Heading2"/>
      </w:pPr>
      <w:r>
        <w:rPr>
          <w:color w:val="1E3A5F"/>
          <w:sz w:val="28"/>
        </w:rPr>
        <w:t>1.2 Les deux modes de signature</w:t>
      </w:r>
    </w:p>
    <w:p>
      <w:r>
        <w:rPr>
          <w:b/>
        </w:rPr>
        <w:t>clic2up-sign supporte deux modes complementaires :</w:t>
      </w:r>
    </w:p>
    <w:p>
      <w:pPr>
        <w:pStyle w:val="ListBullet"/>
      </w:pPr>
      <w:r>
        <w:rPr>
          <w:b/>
        </w:rPr>
        <w:t xml:space="preserve">Mode autonome (full DSS) — </w:t>
      </w:r>
      <w:r>
        <w:t>le service recoit le TEIF non signe et le PIN, construit toute la signature XAdES-B avec la librairie DSS et renvoie le XML signe complet. Endpoint POST /sign. Utilise en CLI et pour les tests.</w:t>
      </w:r>
    </w:p>
    <w:p>
      <w:pPr>
        <w:pStyle w:val="ListBullet"/>
      </w:pPr>
      <w:r>
        <w:rPr>
          <w:b/>
        </w:rPr>
        <w:t xml:space="preserve">Mode signHash (cible production) — </w:t>
      </w:r>
      <w:r>
        <w:t>le backend NestJS assemble lui-meme le bloc XAdES (au profil ElFatoora V3.0) et ne transmet a clic2up-sign que les octets canoniques du SignedInfo ; le token se contente du calcul RSA. Endpoint POST /sign-hash. La cle privee ne signe qu'une empreinte, jamais le document entier.</w:t>
      </w:r>
    </w:p>
    <w:p>
      <w:pPr>
        <w:pStyle w:val="Heading2"/>
      </w:pPr>
      <w:r>
        <w:rPr>
          <w:color w:val="1E3A5F"/>
          <w:sz w:val="28"/>
        </w:rPr>
        <w:t>1.3 Architecture</w:t>
      </w:r>
    </w:p>
    <w:p>
      <w:pPr>
        <w:shd w:val="clear" w:color="auto" w:fill="F1F5F9"/>
        <w:spacing w:before="80" w:after="160"/>
        <w:ind w:left="120"/>
      </w:pPr>
      <w:r>
        <w:rPr>
          <w:rFonts w:ascii="Consolas" w:hAnsi="Consolas"/>
          <w:color w:val="0F172A"/>
          <w:sz w:val="19"/>
        </w:rPr>
        <w:t>+--------------------------------------------------------------+</w:t>
      </w:r>
      <w:r>
        <w:br/>
      </w:r>
      <w:r>
        <w:rPr>
          <w:rFonts w:ascii="Consolas" w:hAnsi="Consolas"/>
          <w:color w:val="0F172A"/>
          <w:sz w:val="19"/>
        </w:rPr>
        <w:t>|  Poste client (Windows)                                      |</w:t>
      </w:r>
      <w:r>
        <w:br/>
      </w:r>
      <w:r>
        <w:rPr>
          <w:rFonts w:ascii="Consolas" w:hAnsi="Consolas"/>
          <w:color w:val="0F172A"/>
          <w:sz w:val="19"/>
        </w:rPr>
        <w:t>|                                                              |</w:t>
      </w:r>
      <w:r>
        <w:br/>
      </w:r>
      <w:r>
        <w:rPr>
          <w:rFonts w:ascii="Consolas" w:hAnsi="Consolas"/>
          <w:color w:val="0F172A"/>
          <w:sz w:val="19"/>
        </w:rPr>
        <w:t>|  +-----------+   localhost:9876     +--------------------+   |</w:t>
      </w:r>
      <w:r>
        <w:br/>
      </w:r>
      <w:r>
        <w:rPr>
          <w:rFonts w:ascii="Consolas" w:hAnsi="Consolas"/>
          <w:color w:val="0F172A"/>
          <w:sz w:val="19"/>
        </w:rPr>
        <w:t>|  |  React    | -- /certificates --&gt; |  clic2up-sign      |   |</w:t>
      </w:r>
      <w:r>
        <w:br/>
      </w:r>
      <w:r>
        <w:rPr>
          <w:rFonts w:ascii="Consolas" w:hAnsi="Consolas"/>
          <w:color w:val="0F172A"/>
          <w:sz w:val="19"/>
        </w:rPr>
        <w:t>|  |  Frontend | -- /sign-hash -----&gt; |  (.exe + JRE)      |   |</w:t>
      </w:r>
      <w:r>
        <w:br/>
      </w:r>
      <w:r>
        <w:rPr>
          <w:rFonts w:ascii="Consolas" w:hAnsi="Consolas"/>
          <w:color w:val="0F172A"/>
          <w:sz w:val="19"/>
        </w:rPr>
        <w:t>|  |           | &lt;- signatureValue -- |                    |   |</w:t>
      </w:r>
      <w:r>
        <w:br/>
      </w:r>
      <w:r>
        <w:rPr>
          <w:rFonts w:ascii="Consolas" w:hAnsi="Consolas"/>
          <w:color w:val="0F172A"/>
          <w:sz w:val="19"/>
        </w:rPr>
        <w:t>|  +-----+-----+                      +---------+----------+   |</w:t>
      </w:r>
      <w:r>
        <w:br/>
      </w:r>
      <w:r>
        <w:rPr>
          <w:rFonts w:ascii="Consolas" w:hAnsi="Consolas"/>
          <w:color w:val="0F172A"/>
          <w:sz w:val="19"/>
        </w:rPr>
        <w:t>|        |                                      | PKCS#11      |</w:t>
      </w:r>
      <w:r>
        <w:br/>
      </w:r>
      <w:r>
        <w:rPr>
          <w:rFonts w:ascii="Consolas" w:hAnsi="Consolas"/>
          <w:color w:val="0F172A"/>
          <w:sz w:val="19"/>
        </w:rPr>
        <w:t>|        | HTTPS                       +--------+----------+   |</w:t>
      </w:r>
      <w:r>
        <w:br/>
      </w:r>
      <w:r>
        <w:rPr>
          <w:rFonts w:ascii="Consolas" w:hAnsi="Consolas"/>
          <w:color w:val="0F172A"/>
          <w:sz w:val="19"/>
        </w:rPr>
        <w:t>|        |                            | SafeNet IDPrime +  |   |</w:t>
      </w:r>
      <w:r>
        <w:br/>
      </w:r>
      <w:r>
        <w:rPr>
          <w:rFonts w:ascii="Consolas" w:hAnsi="Consolas"/>
          <w:color w:val="0F172A"/>
          <w:sz w:val="19"/>
        </w:rPr>
        <w:t>|        |                            | Cle USB TunTrust   |   |</w:t>
      </w:r>
      <w:r>
        <w:br/>
      </w:r>
      <w:r>
        <w:rPr>
          <w:rFonts w:ascii="Consolas" w:hAnsi="Consolas"/>
          <w:color w:val="0F172A"/>
          <w:sz w:val="19"/>
        </w:rPr>
        <w:t>|        v                            +--------------------+   |</w:t>
      </w:r>
      <w:r>
        <w:br/>
      </w:r>
      <w:r>
        <w:rPr>
          <w:rFonts w:ascii="Consolas" w:hAnsi="Consolas"/>
          <w:color w:val="0F172A"/>
          <w:sz w:val="19"/>
        </w:rPr>
        <w:t>+--------|-----------------------------------------------------+</w:t>
      </w:r>
      <w:r>
        <w:br/>
      </w:r>
      <w:r>
        <w:rPr>
          <w:rFonts w:ascii="Consolas" w:hAnsi="Consolas"/>
          <w:color w:val="0F172A"/>
          <w:sz w:val="19"/>
        </w:rPr>
        <w:t xml:space="preserve">         v  (IP whitelistee TTN)</w:t>
      </w:r>
      <w:r>
        <w:br/>
      </w:r>
      <w:r>
        <w:rPr>
          <w:rFonts w:ascii="Consolas" w:hAnsi="Consolas"/>
          <w:color w:val="0F172A"/>
          <w:sz w:val="19"/>
        </w:rPr>
        <w:t xml:space="preserve">   +-----------+      SOAP saveEfact / consultEfact    +-----------+</w:t>
      </w:r>
      <w:r>
        <w:br/>
      </w:r>
      <w:r>
        <w:rPr>
          <w:rFonts w:ascii="Consolas" w:hAnsi="Consolas"/>
          <w:color w:val="0F172A"/>
          <w:sz w:val="19"/>
        </w:rPr>
        <w:t xml:space="preserve">   |  Backend  | -----------------------------------&gt; | ElFatoora |</w:t>
      </w:r>
      <w:r>
        <w:br/>
      </w:r>
      <w:r>
        <w:rPr>
          <w:rFonts w:ascii="Consolas" w:hAnsi="Consolas"/>
          <w:color w:val="0F172A"/>
          <w:sz w:val="19"/>
        </w:rPr>
        <w:t xml:space="preserve">   |  NestJS   | &lt;-- ref TTN + QR (RefTtnVal/SigTTN) --|   (TTN)   |</w:t>
      </w:r>
      <w:r>
        <w:br/>
      </w:r>
      <w:r>
        <w:rPr>
          <w:rFonts w:ascii="Consolas" w:hAnsi="Consolas"/>
          <w:color w:val="0F172A"/>
          <w:sz w:val="19"/>
        </w:rPr>
        <w:t xml:space="preserve">   +-----------+                                       +-----------+</w:t>
      </w:r>
    </w:p>
    <w:p>
      <w:r>
        <w:br w:type="page"/>
      </w:r>
    </w:p>
    <w:p>
      <w:pPr>
        <w:pStyle w:val="Heading1"/>
      </w:pPr>
      <w:r>
        <w:rPr>
          <w:color w:val="2563EB"/>
          <w:sz w:val="36"/>
        </w:rPr>
        <w:t>2. La cle USB et le driver PKCS#11</w:t>
      </w:r>
    </w:p>
    <w:p>
      <w:r>
        <w:rPr>
          <w:b w:val="0"/>
        </w:rPr>
        <w:t>La signature s'appuie sur une cle USB cryptographique qualifiee TunTrust. Le choix du bon driver PKCS#11 est determinant : un mauvais driver empeche la lecture du certificat et la signature.</w:t>
      </w:r>
    </w:p>
    <w:p>
      <w:pPr>
        <w:pStyle w:val="Heading2"/>
      </w:pPr>
      <w:r>
        <w:rPr>
          <w:color w:val="1E3A5F"/>
          <w:sz w:val="28"/>
        </w:rPr>
        <w:t>2.1 Drivers PKCS#11</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888"/>
            <w:shd w:val="clear" w:color="auto" w:fill="2563EB"/>
          </w:tcPr>
          <w:p>
            <w:r/>
            <w:r>
              <w:rPr>
                <w:b/>
                <w:color w:val="FFFFFF"/>
                <w:sz w:val="20"/>
              </w:rPr>
              <w:t>Propriete</w:t>
            </w:r>
          </w:p>
        </w:tc>
        <w:tc>
          <w:tcPr>
            <w:tcW w:type="dxa" w:w="5472"/>
            <w:shd w:val="clear" w:color="auto" w:fill="2563EB"/>
          </w:tcPr>
          <w:p>
            <w:r/>
            <w:r>
              <w:rPr>
                <w:b/>
                <w:color w:val="FFFFFF"/>
                <w:sz w:val="20"/>
              </w:rPr>
              <w:t>Valeur</w:t>
            </w:r>
          </w:p>
        </w:tc>
      </w:tr>
      <w:tr>
        <w:tc>
          <w:tcPr>
            <w:tcW w:type="dxa" w:w="3888"/>
          </w:tcPr>
          <w:p>
            <w:r/>
            <w:r>
              <w:rPr>
                <w:sz w:val="19"/>
              </w:rPr>
              <w:t>Driver par defaut</w:t>
            </w:r>
          </w:p>
        </w:tc>
        <w:tc>
          <w:tcPr>
            <w:tcW w:type="dxa" w:w="5472"/>
          </w:tcPr>
          <w:p>
            <w:r/>
            <w:r>
              <w:rPr>
                <w:sz w:val="19"/>
              </w:rPr>
              <w:t>C:\Program Files\SafeNet\Authentication\SAC\x64\IDPrimePKCS1164.dll</w:t>
            </w:r>
          </w:p>
        </w:tc>
      </w:tr>
      <w:tr>
        <w:tc>
          <w:tcPr>
            <w:tcW w:type="dxa" w:w="3888"/>
          </w:tcPr>
          <w:p>
            <w:r/>
            <w:r>
              <w:rPr>
                <w:sz w:val="19"/>
              </w:rPr>
              <w:t>Driver alternatif (fonctionne aussi)</w:t>
            </w:r>
          </w:p>
        </w:tc>
        <w:tc>
          <w:tcPr>
            <w:tcW w:type="dxa" w:w="5472"/>
          </w:tcPr>
          <w:p>
            <w:r/>
            <w:r>
              <w:rPr>
                <w:sz w:val="19"/>
              </w:rPr>
              <w:t>C:\Windows\System32\eTPKCS11.dll</w:t>
            </w:r>
          </w:p>
        </w:tc>
      </w:tr>
      <w:tr>
        <w:tc>
          <w:tcPr>
            <w:tcW w:type="dxa" w:w="3888"/>
          </w:tcPr>
          <w:p>
            <w:r/>
            <w:r>
              <w:rPr>
                <w:sz w:val="19"/>
              </w:rPr>
              <w:t>Carte / token</w:t>
            </w:r>
          </w:p>
        </w:tc>
        <w:tc>
          <w:tcPr>
            <w:tcW w:type="dxa" w:w="5472"/>
          </w:tcPr>
          <w:p>
            <w:r/>
            <w:r>
              <w:rPr>
                <w:sz w:val="19"/>
              </w:rPr>
              <w:t>Gemalto / Thales IDPrime (middleware SafeNet Authentication Client)</w:t>
            </w:r>
          </w:p>
        </w:tc>
      </w:tr>
      <w:tr>
        <w:tc>
          <w:tcPr>
            <w:tcW w:type="dxa" w:w="3888"/>
          </w:tcPr>
          <w:p>
            <w:r/>
            <w:r>
              <w:rPr>
                <w:sz w:val="19"/>
              </w:rPr>
              <w:t>Architecture</w:t>
            </w:r>
          </w:p>
        </w:tc>
        <w:tc>
          <w:tcPr>
            <w:tcW w:type="dxa" w:w="5472"/>
          </w:tcPr>
          <w:p>
            <w:r/>
            <w:r>
              <w:rPr>
                <w:sz w:val="19"/>
              </w:rPr>
              <w:t>64 bits (a faire correspondre avec la JVM 64 bits embarquee)</w:t>
            </w:r>
          </w:p>
        </w:tc>
      </w:tr>
      <w:tr>
        <w:tc>
          <w:tcPr>
            <w:tcW w:type="dxa" w:w="3888"/>
          </w:tcPr>
          <w:p>
            <w:r/>
            <w:r>
              <w:rPr>
                <w:sz w:val="19"/>
              </w:rPr>
              <w:t>Provider Java</w:t>
            </w:r>
          </w:p>
        </w:tc>
        <w:tc>
          <w:tcPr>
            <w:tcW w:type="dxa" w:w="5472"/>
          </w:tcPr>
          <w:p>
            <w:r/>
            <w:r>
              <w:rPr>
                <w:sz w:val="19"/>
              </w:rPr>
              <w:t>SunPKCS11</w:t>
            </w:r>
          </w:p>
        </w:tc>
      </w:tr>
      <w:tr>
        <w:tc>
          <w:tcPr>
            <w:tcW w:type="dxa" w:w="3888"/>
          </w:tcPr>
          <w:p>
            <w:r/>
            <w:r>
              <w:rPr>
                <w:sz w:val="19"/>
              </w:rPr>
              <w:t>Type de KeyStore</w:t>
            </w:r>
          </w:p>
        </w:tc>
        <w:tc>
          <w:tcPr>
            <w:tcW w:type="dxa" w:w="5472"/>
          </w:tcPr>
          <w:p>
            <w:r/>
            <w:r>
              <w:rPr>
                <w:sz w:val="19"/>
              </w:rPr>
              <w:t>PKCS11</w:t>
            </w:r>
          </w:p>
        </w:tc>
      </w:tr>
    </w:tbl>
    <w:p/>
    <w:p>
      <w:pPr>
        <w:shd w:val="clear" w:color="auto" w:fill="EFF6FF"/>
        <w:spacing w:before="120" w:after="160"/>
        <w:ind w:left="120"/>
      </w:pPr>
      <w:r>
        <w:rPr>
          <w:b/>
        </w:rPr>
        <w:t xml:space="preserve">Note : </w:t>
      </w:r>
      <w:r>
        <w:t>Les deux modules PKCS#11 accedent a la carte IDPrime et permettent la lecture du certificat ET la signature. Ils sont installes par le meme package SafeNet (Minidriver x64). Verifie sur la cle de production : IDPrimePKCS1164.dll et eTPKCS11.dll lisent le meme certificat (meme numero de serie) et chacun a ete valide DE BOUT EN BOUT jusqu'au QR ElFatoora. clic2up-sign utilise IDPrimePKCS1164.dll par defaut, surchargeable via 'driver' (GET /certificates) ou 'driverPath' (POST /sign, /sign-hash).</w:t>
      </w:r>
    </w:p>
    <w:p>
      <w:pPr>
        <w:pStyle w:val="Heading2"/>
      </w:pPr>
      <w:r>
        <w:rPr>
          <w:color w:val="1E3A5F"/>
          <w:sz w:val="28"/>
        </w:rPr>
        <w:t>2.2 Deux PIN / deux slots</w:t>
      </w:r>
    </w:p>
    <w:p>
      <w:r>
        <w:rPr>
          <w:b w:val="0"/>
        </w:rPr>
        <w:t>La carte IDPrime / QSign de TunTrust expose deux slots :</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584"/>
            <w:shd w:val="clear" w:color="auto" w:fill="2563EB"/>
          </w:tcPr>
          <w:p>
            <w:r/>
            <w:r>
              <w:rPr>
                <w:b/>
                <w:color w:val="FFFFFF"/>
                <w:sz w:val="20"/>
              </w:rPr>
              <w:t>Slot</w:t>
            </w:r>
          </w:p>
        </w:tc>
        <w:tc>
          <w:tcPr>
            <w:tcW w:type="dxa" w:w="3744"/>
            <w:shd w:val="clear" w:color="auto" w:fill="2563EB"/>
          </w:tcPr>
          <w:p>
            <w:r/>
            <w:r>
              <w:rPr>
                <w:b/>
                <w:color w:val="FFFFFF"/>
                <w:sz w:val="20"/>
              </w:rPr>
              <w:t>Role</w:t>
            </w:r>
          </w:p>
        </w:tc>
        <w:tc>
          <w:tcPr>
            <w:tcW w:type="dxa" w:w="4032"/>
            <w:shd w:val="clear" w:color="auto" w:fill="2563EB"/>
          </w:tcPr>
          <w:p>
            <w:r/>
            <w:r>
              <w:rPr>
                <w:b/>
                <w:color w:val="FFFFFF"/>
                <w:sz w:val="20"/>
              </w:rPr>
              <w:t>Contenu</w:t>
            </w:r>
          </w:p>
        </w:tc>
      </w:tr>
      <w:tr>
        <w:tc>
          <w:tcPr>
            <w:tcW w:type="dxa" w:w="1584"/>
          </w:tcPr>
          <w:p>
            <w:r/>
            <w:r>
              <w:rPr>
                <w:sz w:val="19"/>
              </w:rPr>
              <w:t>Slot 0</w:t>
            </w:r>
          </w:p>
        </w:tc>
        <w:tc>
          <w:tcPr>
            <w:tcW w:type="dxa" w:w="3744"/>
          </w:tcPr>
          <w:p>
            <w:r/>
            <w:r>
              <w:rPr>
                <w:sz w:val="19"/>
              </w:rPr>
              <w:t>PIN utilisateur du token</w:t>
            </w:r>
          </w:p>
        </w:tc>
        <w:tc>
          <w:tcPr>
            <w:tcW w:type="dxa" w:w="4032"/>
          </w:tcPr>
          <w:p>
            <w:r/>
            <w:r>
              <w:rPr>
                <w:sz w:val="19"/>
              </w:rPr>
              <w:t>Porte le certificat de signature (lisible apres login user PIN)</w:t>
            </w:r>
          </w:p>
        </w:tc>
      </w:tr>
      <w:tr>
        <w:tc>
          <w:tcPr>
            <w:tcW w:type="dxa" w:w="1584"/>
          </w:tcPr>
          <w:p>
            <w:r/>
            <w:r>
              <w:rPr>
                <w:sz w:val="19"/>
              </w:rPr>
              <w:t>Slot 16</w:t>
            </w:r>
          </w:p>
        </w:tc>
        <w:tc>
          <w:tcPr>
            <w:tcW w:type="dxa" w:w="3744"/>
          </w:tcPr>
          <w:p>
            <w:r/>
            <w:r>
              <w:rPr>
                <w:sz w:val="19"/>
              </w:rPr>
              <w:t>PIN de signature (Digital Signature Pin)</w:t>
            </w:r>
          </w:p>
        </w:tc>
        <w:tc>
          <w:tcPr>
            <w:tcW w:type="dxa" w:w="4032"/>
          </w:tcPr>
          <w:p>
            <w:r/>
            <w:r>
              <w:rPr>
                <w:sz w:val="19"/>
              </w:rPr>
              <w:t>Conteneur dedie a l'operation de signature qualifiee</w:t>
            </w:r>
          </w:p>
        </w:tc>
      </w:tr>
    </w:tbl>
    <w:p/>
    <w:p>
      <w:pPr>
        <w:shd w:val="clear" w:color="auto" w:fill="EFF6FF"/>
        <w:spacing w:before="120" w:after="160"/>
        <w:ind w:left="120"/>
      </w:pPr>
      <w:r>
        <w:rPr>
          <w:b/>
        </w:rPr>
        <w:t xml:space="preserve">Note : </w:t>
      </w:r>
      <w:r>
        <w:t>clic2up-sign se logge sur le slot 0 par defaut (KeyStore.load(null, pin)). Le certificat et la signature ont fonctionne avec le seul PIN utilisateur lors de la validation de bout en bout.</w:t>
      </w:r>
    </w:p>
    <w:p>
      <w:pPr>
        <w:shd w:val="clear" w:color="auto" w:fill="FEF3C7"/>
        <w:spacing w:before="120" w:after="160"/>
        <w:ind w:left="120"/>
      </w:pPr>
      <w:r>
        <w:rPr>
          <w:b/>
        </w:rPr>
        <w:t xml:space="preserve">Attention : </w:t>
      </w:r>
      <w:r>
        <w:t>Securite materielle : apres plusieurs saisies de PIN incorrectes, le token se bloque (protection hardware). Le deblocage se fait avec l'outil officiel TunTrust unlockToken.exe, qui reinitialise le PIN sans l'ancien et envoie le nouveau PIN par e-mail au titulaire.</w:t>
      </w:r>
    </w:p>
    <w:p>
      <w:pPr>
        <w:pStyle w:val="Heading2"/>
      </w:pPr>
      <w:r>
        <w:rPr>
          <w:color w:val="1E3A5F"/>
          <w:sz w:val="28"/>
        </w:rPr>
        <w:t>2.3 Configuration SunPKCS11 (JDK 17)</w:t>
      </w:r>
    </w:p>
    <w:p>
      <w:r>
        <w:rPr>
          <w:b w:val="0"/>
        </w:rPr>
        <w:t>La librairie DSS 6.0 utilise une API d'initialisation SunPKCS11 obsolete (JDK &lt; 9). La classe Pkcs11TokenJDK17 corrige cela en utilisant l'API moderne Provider.configure(String) :</w:t>
      </w:r>
    </w:p>
    <w:p>
      <w:pPr>
        <w:shd w:val="clear" w:color="auto" w:fill="F1F5F9"/>
        <w:spacing w:before="80" w:after="160"/>
        <w:ind w:left="120"/>
      </w:pPr>
      <w:r>
        <w:rPr>
          <w:rFonts w:ascii="Consolas" w:hAnsi="Consolas"/>
          <w:color w:val="0F172A"/>
          <w:sz w:val="19"/>
        </w:rPr>
        <w:t>Provider base = Security.getProvider("SunPKCS11");</w:t>
      </w:r>
      <w:r>
        <w:br/>
      </w:r>
      <w:r>
        <w:rPr>
          <w:rFonts w:ascii="Consolas" w:hAnsi="Consolas"/>
          <w:color w:val="0F172A"/>
          <w:sz w:val="19"/>
        </w:rPr>
        <w:t>Provider provider = base.configure("--name=clic2up-sign\nlibrary=" + pkcs11Driver);</w:t>
      </w:r>
      <w:r>
        <w:br/>
      </w:r>
      <w:r>
        <w:rPr>
          <w:rFonts w:ascii="Consolas" w:hAnsi="Consolas"/>
          <w:color w:val="0F172A"/>
          <w:sz w:val="19"/>
        </w:rPr>
        <w:t>Security.addProvider(provider);</w:t>
      </w:r>
      <w:r>
        <w:br/>
      </w:r>
      <w:r>
        <w:rPr>
          <w:rFonts w:ascii="Consolas" w:hAnsi="Consolas"/>
          <w:color w:val="0F172A"/>
          <w:sz w:val="19"/>
        </w:rPr>
        <w:t>KeyStore ks = KeyStore.getInstance("PKCS11", provider);</w:t>
      </w:r>
      <w:r>
        <w:br/>
      </w:r>
      <w:r>
        <w:rPr>
          <w:rFonts w:ascii="Consolas" w:hAnsi="Consolas"/>
          <w:color w:val="0F172A"/>
          <w:sz w:val="19"/>
        </w:rPr>
        <w:t>ks.load(null, pin.toCharArray());</w:t>
      </w:r>
    </w:p>
    <w:p>
      <w:pPr>
        <w:pStyle w:val="Heading2"/>
      </w:pPr>
      <w:r>
        <w:rPr>
          <w:color w:val="1E3A5F"/>
          <w:sz w:val="28"/>
        </w:rPr>
        <w:t>2.4 Selection automatique du driver (fallback)</w:t>
      </w:r>
    </w:p>
    <w:p>
      <w:r>
        <w:rPr>
          <w:b w:val="0"/>
        </w:rPr>
        <w:t>Si aucun driver n'est precise par l'appelant, clic2up-sign essaie automatiquement les modules connus, dans l'ordre, et retient le premier qui ouvre le token et expose une cle :</w:t>
      </w:r>
    </w:p>
    <w:p>
      <w:pPr>
        <w:pStyle w:val="ListNumber"/>
      </w:pPr>
      <w:r>
        <w:t>driver explicite fourni par le front (driver / driverPath) : prioritaire, utilise tel quel ;</w:t>
      </w:r>
    </w:p>
    <w:p>
      <w:pPr>
        <w:pStyle w:val="ListNumber"/>
      </w:pPr>
      <w:r>
        <w:t>sinon C:\Program Files\SafeNet\Authentication\SAC\x64\IDPrimePKCS1164.dll ;</w:t>
      </w:r>
    </w:p>
    <w:p>
      <w:pPr>
        <w:pStyle w:val="ListNumber"/>
      </w:pPr>
      <w:r>
        <w:t>sinon C:\Windows\System32\eTPKCS11.dll.</w:t>
      </w:r>
    </w:p>
    <w:p>
      <w:r>
        <w:rPr>
          <w:b w:val="0"/>
        </w:rPr>
        <w:t>Chaque candidat n'est essaye que s'il existe reellement sur le poste (verification File.exists). Cela garantit la portabilite : sur un poste ou le chemin IDPrime differe ou est absent, eTPKCS11.dll (toujours dans System32) prend automatiquement le relais.</w:t>
      </w:r>
    </w:p>
    <w:p>
      <w:pPr>
        <w:shd w:val="clear" w:color="auto" w:fill="FEF3C7"/>
        <w:spacing w:before="120" w:after="160"/>
        <w:ind w:left="120"/>
      </w:pPr>
      <w:r>
        <w:rPr>
          <w:b/>
        </w:rPr>
        <w:t xml:space="preserve">Attention : </w:t>
      </w:r>
      <w:r>
        <w:t>Garde PIN : si un module trouve le token mais que le PIN est errone (ou la carte deja bloquee), clic2up-sign s'arrete immediatement et NE reessaie PAS avec les autres modules, afin de ne pas consommer plusieurs tentatives de PIN et risquer de bloquer la carte.</w:t>
      </w:r>
    </w:p>
    <w:p>
      <w:r>
        <w:br w:type="page"/>
      </w:r>
    </w:p>
    <w:p>
      <w:pPr>
        <w:pStyle w:val="Heading1"/>
      </w:pPr>
      <w:r>
        <w:rPr>
          <w:color w:val="2563EB"/>
          <w:sz w:val="36"/>
        </w:rPr>
        <w:t>3. La signature electronique (XAdES-B / ElFatoora V3.0)</w:t>
      </w:r>
    </w:p>
    <w:p>
      <w:pPr>
        <w:pStyle w:val="Heading2"/>
      </w:pPr>
      <w:r>
        <w:rPr>
          <w:color w:val="1E3A5F"/>
          <w:sz w:val="28"/>
        </w:rPr>
        <w:t>3.1 Standard et parametres</w:t>
      </w:r>
    </w:p>
    <w:p>
      <w:r>
        <w:rPr>
          <w:b w:val="0"/>
        </w:rPr>
        <w:t>La signature respecte le standard XAdES-BASELINE-B (ETSI EN 319 132-1), enveloppee dans le XML, implementee avec la librairie EU DSS (Digital Signature Services).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744"/>
            <w:shd w:val="clear" w:color="auto" w:fill="2563EB"/>
          </w:tcPr>
          <w:p>
            <w:r/>
            <w:r>
              <w:rPr>
                <w:b/>
                <w:color w:val="FFFFFF"/>
                <w:sz w:val="20"/>
              </w:rPr>
              <w:t>Parametre</w:t>
            </w:r>
          </w:p>
        </w:tc>
        <w:tc>
          <w:tcPr>
            <w:tcW w:type="dxa" w:w="5616"/>
            <w:shd w:val="clear" w:color="auto" w:fill="2563EB"/>
          </w:tcPr>
          <w:p>
            <w:r/>
            <w:r>
              <w:rPr>
                <w:b/>
                <w:color w:val="FFFFFF"/>
                <w:sz w:val="20"/>
              </w:rPr>
              <w:t>Valeur</w:t>
            </w:r>
          </w:p>
        </w:tc>
      </w:tr>
      <w:tr>
        <w:tc>
          <w:tcPr>
            <w:tcW w:type="dxa" w:w="3744"/>
          </w:tcPr>
          <w:p>
            <w:r/>
            <w:r>
              <w:rPr>
                <w:sz w:val="19"/>
              </w:rPr>
              <w:t>Niveau</w:t>
            </w:r>
          </w:p>
        </w:tc>
        <w:tc>
          <w:tcPr>
            <w:tcW w:type="dxa" w:w="5616"/>
          </w:tcPr>
          <w:p>
            <w:r/>
            <w:r>
              <w:rPr>
                <w:sz w:val="19"/>
              </w:rPr>
              <w:t>XAdES-BASELINE-B</w:t>
            </w:r>
          </w:p>
        </w:tc>
      </w:tr>
      <w:tr>
        <w:tc>
          <w:tcPr>
            <w:tcW w:type="dxa" w:w="3744"/>
          </w:tcPr>
          <w:p>
            <w:r/>
            <w:r>
              <w:rPr>
                <w:sz w:val="19"/>
              </w:rPr>
              <w:t>Packaging</w:t>
            </w:r>
          </w:p>
        </w:tc>
        <w:tc>
          <w:tcPr>
            <w:tcW w:type="dxa" w:w="5616"/>
          </w:tcPr>
          <w:p>
            <w:r/>
            <w:r>
              <w:rPr>
                <w:sz w:val="19"/>
              </w:rPr>
              <w:t>ENVELOPED (la signature est inseree dans le TEIF)</w:t>
            </w:r>
          </w:p>
        </w:tc>
      </w:tr>
      <w:tr>
        <w:tc>
          <w:tcPr>
            <w:tcW w:type="dxa" w:w="3744"/>
          </w:tcPr>
          <w:p>
            <w:r/>
            <w:r>
              <w:rPr>
                <w:sz w:val="19"/>
              </w:rPr>
              <w:t>Canonicalisation</w:t>
            </w:r>
          </w:p>
        </w:tc>
        <w:tc>
          <w:tcPr>
            <w:tcW w:type="dxa" w:w="5616"/>
          </w:tcPr>
          <w:p>
            <w:r/>
            <w:r>
              <w:rPr>
                <w:sz w:val="19"/>
              </w:rPr>
              <w:t>Exclusive c14n (http://www.w3.org/2001/10/xml-exc-c14n#)</w:t>
            </w:r>
          </w:p>
        </w:tc>
      </w:tr>
      <w:tr>
        <w:tc>
          <w:tcPr>
            <w:tcW w:type="dxa" w:w="3744"/>
          </w:tcPr>
          <w:p>
            <w:r/>
            <w:r>
              <w:rPr>
                <w:sz w:val="19"/>
              </w:rPr>
              <w:t>Algorithme de signature</w:t>
            </w:r>
          </w:p>
        </w:tc>
        <w:tc>
          <w:tcPr>
            <w:tcW w:type="dxa" w:w="5616"/>
          </w:tcPr>
          <w:p>
            <w:r/>
            <w:r>
              <w:rPr>
                <w:sz w:val="19"/>
              </w:rPr>
              <w:t>RSA-SHA256</w:t>
            </w:r>
          </w:p>
        </w:tc>
      </w:tr>
      <w:tr>
        <w:tc>
          <w:tcPr>
            <w:tcW w:type="dxa" w:w="3744"/>
          </w:tcPr>
          <w:p>
            <w:r/>
            <w:r>
              <w:rPr>
                <w:sz w:val="19"/>
              </w:rPr>
              <w:t>Empreinte des references</w:t>
            </w:r>
          </w:p>
        </w:tc>
        <w:tc>
          <w:tcPr>
            <w:tcW w:type="dxa" w:w="5616"/>
          </w:tcPr>
          <w:p>
            <w:r/>
            <w:r>
              <w:rPr>
                <w:sz w:val="19"/>
              </w:rPr>
              <w:t>SHA-256</w:t>
            </w:r>
          </w:p>
        </w:tc>
      </w:tr>
      <w:tr>
        <w:tc>
          <w:tcPr>
            <w:tcW w:type="dxa" w:w="3744"/>
          </w:tcPr>
          <w:p>
            <w:r/>
            <w:r>
              <w:rPr>
                <w:sz w:val="19"/>
              </w:rPr>
              <w:t>Id de la signature</w:t>
            </w:r>
          </w:p>
        </w:tc>
        <w:tc>
          <w:tcPr>
            <w:tcW w:type="dxa" w:w="5616"/>
          </w:tcPr>
          <w:p>
            <w:r/>
            <w:r>
              <w:rPr>
                <w:sz w:val="19"/>
              </w:rPr>
              <w:t>SigFrs (signature fournisseur)</w:t>
            </w:r>
          </w:p>
        </w:tc>
      </w:tr>
      <w:tr>
        <w:tc>
          <w:tcPr>
            <w:tcW w:type="dxa" w:w="3744"/>
          </w:tcPr>
          <w:p>
            <w:r/>
            <w:r>
              <w:rPr>
                <w:sz w:val="19"/>
              </w:rPr>
              <w:t>Role revendique (ClaimedRole)</w:t>
            </w:r>
          </w:p>
        </w:tc>
        <w:tc>
          <w:tcPr>
            <w:tcW w:type="dxa" w:w="5616"/>
          </w:tcPr>
          <w:p>
            <w:r/>
            <w:r>
              <w:rPr>
                <w:sz w:val="19"/>
              </w:rPr>
              <w:t>Fournisseur</w:t>
            </w:r>
          </w:p>
        </w:tc>
      </w:tr>
      <w:tr>
        <w:tc>
          <w:tcPr>
            <w:tcW w:type="dxa" w:w="3744"/>
          </w:tcPr>
          <w:p>
            <w:r/>
            <w:r>
              <w:rPr>
                <w:sz w:val="19"/>
              </w:rPr>
              <w:t>Format XML</w:t>
            </w:r>
          </w:p>
        </w:tc>
        <w:tc>
          <w:tcPr>
            <w:tcW w:type="dxa" w:w="5616"/>
          </w:tcPr>
          <w:p>
            <w:r/>
            <w:r>
              <w:rPr>
                <w:sz w:val="19"/>
              </w:rPr>
              <w:t>unpretty (une seule ligne) + UTF-8 avant signature</w:t>
            </w:r>
          </w:p>
        </w:tc>
      </w:tr>
    </w:tbl>
    <w:p/>
    <w:p>
      <w:pPr>
        <w:pStyle w:val="Heading2"/>
      </w:pPr>
      <w:r>
        <w:rPr>
          <w:color w:val="1E3A5F"/>
          <w:sz w:val="28"/>
        </w:rPr>
        <w:t>3.2 Politique de signature ElFatoora V3.0</w:t>
      </w:r>
    </w:p>
    <w:p>
      <w:r>
        <w:rPr>
          <w:b w:val="0"/>
        </w:rPr>
        <w:t>Depuis la specification V3.0 (obligatoire en production a partir du 30 juin 2026), le bloc SignaturePolicyIdentifier a change. Ce sont les valeurs utilisees par clic2up-sign 1.0 :</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312"/>
            <w:shd w:val="clear" w:color="auto" w:fill="2563EB"/>
          </w:tcPr>
          <w:p>
            <w:r/>
            <w:r>
              <w:rPr>
                <w:b/>
                <w:color w:val="FFFFFF"/>
                <w:sz w:val="20"/>
              </w:rPr>
              <w:t>Champ</w:t>
            </w:r>
          </w:p>
        </w:tc>
        <w:tc>
          <w:tcPr>
            <w:tcW w:type="dxa" w:w="6048"/>
            <w:shd w:val="clear" w:color="auto" w:fill="2563EB"/>
          </w:tcPr>
          <w:p>
            <w:r/>
            <w:r>
              <w:rPr>
                <w:b/>
                <w:color w:val="FFFFFF"/>
                <w:sz w:val="20"/>
              </w:rPr>
              <w:t>Valeur V3.0</w:t>
            </w:r>
          </w:p>
        </w:tc>
      </w:tr>
      <w:tr>
        <w:tc>
          <w:tcPr>
            <w:tcW w:type="dxa" w:w="3312"/>
          </w:tcPr>
          <w:p>
            <w:r/>
            <w:r>
              <w:rPr>
                <w:sz w:val="19"/>
              </w:rPr>
              <w:t>OID de la politique</w:t>
            </w:r>
          </w:p>
        </w:tc>
        <w:tc>
          <w:tcPr>
            <w:tcW w:type="dxa" w:w="6048"/>
          </w:tcPr>
          <w:p>
            <w:r/>
            <w:r>
              <w:rPr>
                <w:sz w:val="19"/>
              </w:rPr>
              <w:t>urn:2.16.788.1.2.1.3</w:t>
            </w:r>
          </w:p>
        </w:tc>
      </w:tr>
      <w:tr>
        <w:tc>
          <w:tcPr>
            <w:tcW w:type="dxa" w:w="3312"/>
          </w:tcPr>
          <w:p>
            <w:r/>
            <w:r>
              <w:rPr>
                <w:sz w:val="19"/>
              </w:rPr>
              <w:t>Qualifier</w:t>
            </w:r>
          </w:p>
        </w:tc>
        <w:tc>
          <w:tcPr>
            <w:tcW w:type="dxa" w:w="6048"/>
          </w:tcPr>
          <w:p>
            <w:r/>
            <w:r>
              <w:rPr>
                <w:sz w:val="19"/>
              </w:rPr>
              <w:t>OIDAsURN</w:t>
            </w:r>
          </w:p>
        </w:tc>
      </w:tr>
      <w:tr>
        <w:tc>
          <w:tcPr>
            <w:tcW w:type="dxa" w:w="3312"/>
          </w:tcPr>
          <w:p>
            <w:r/>
            <w:r>
              <w:rPr>
                <w:sz w:val="19"/>
              </w:rPr>
              <w:t>Description</w:t>
            </w:r>
          </w:p>
        </w:tc>
        <w:tc>
          <w:tcPr>
            <w:tcW w:type="dxa" w:w="6048"/>
          </w:tcPr>
          <w:p>
            <w:r/>
            <w:r>
              <w:rPr>
                <w:sz w:val="19"/>
              </w:rPr>
              <w:t>Politique de Signature Electronique de Tunisie TradeNet</w:t>
            </w:r>
          </w:p>
        </w:tc>
      </w:tr>
      <w:tr>
        <w:tc>
          <w:tcPr>
            <w:tcW w:type="dxa" w:w="3312"/>
          </w:tcPr>
          <w:p>
            <w:r/>
            <w:r>
              <w:rPr>
                <w:sz w:val="19"/>
              </w:rPr>
              <w:t>SigPolicyHash (SHA-256)</w:t>
            </w:r>
          </w:p>
        </w:tc>
        <w:tc>
          <w:tcPr>
            <w:tcW w:type="dxa" w:w="6048"/>
          </w:tcPr>
          <w:p>
            <w:r/>
            <w:r>
              <w:rPr>
                <w:sz w:val="19"/>
              </w:rPr>
              <w:t>ZKLu5TojntPu+bUfZyjaEDvkYsAh7eyyV+Hf8nUSQEE=</w:t>
            </w:r>
          </w:p>
        </w:tc>
      </w:tr>
      <w:tr>
        <w:tc>
          <w:tcPr>
            <w:tcW w:type="dxa" w:w="3312"/>
          </w:tcPr>
          <w:p>
            <w:r/>
            <w:r>
              <w:rPr>
                <w:sz w:val="19"/>
              </w:rPr>
              <w:t>SPURI</w:t>
            </w:r>
          </w:p>
        </w:tc>
        <w:tc>
          <w:tcPr>
            <w:tcW w:type="dxa" w:w="6048"/>
          </w:tcPr>
          <w:p>
            <w:r/>
            <w:r>
              <w:rPr>
                <w:sz w:val="19"/>
              </w:rPr>
              <w:t>https://www.tradenet.com.tn/Politique_Signature_Electronique_Tunisie_TradeNet.pdf</w:t>
            </w:r>
          </w:p>
        </w:tc>
      </w:tr>
    </w:tbl>
    <w:p/>
    <w:p>
      <w:pPr>
        <w:shd w:val="clear" w:color="auto" w:fill="EFF6FF"/>
        <w:spacing w:before="120" w:after="160"/>
        <w:ind w:left="120"/>
      </w:pPr>
      <w:r>
        <w:rPr>
          <w:b/>
        </w:rPr>
        <w:t xml:space="preserve">Note : </w:t>
      </w:r>
      <w:r>
        <w:t>La valeur du SigPolicyHash est forcee explicitement (policy.setDigestValue(...)) pour correspondre exactement a ce qu'attend le noyau TTN ; sinon DSS tenterait de hacher le PDF de politique telecharge. Un OID errone provoque le rejet noyau 211806 (« L'objet OID est invalide »).</w:t>
      </w:r>
    </w:p>
    <w:p>
      <w:pPr>
        <w:shd w:val="clear" w:color="auto" w:fill="FEF3C7"/>
        <w:spacing w:before="120" w:after="160"/>
        <w:ind w:left="120"/>
      </w:pPr>
      <w:r>
        <w:rPr>
          <w:b/>
        </w:rPr>
        <w:t xml:space="preserve">Attention : </w:t>
      </w:r>
      <w:r>
        <w:t>Les transforms de la reference document excluent les blocs ds:Signature et ds:RefTtnVal (transformations XPath puis exc-c14n), afin que la signature reste valide apres l'ajout du bloc RefTtnVal (reference TTN + QR) par la plateforme.</w:t>
      </w:r>
    </w:p>
    <w:p>
      <w:pPr>
        <w:pStyle w:val="Heading2"/>
      </w:pPr>
      <w:r>
        <w:rPr>
          <w:color w:val="1E3A5F"/>
          <w:sz w:val="28"/>
        </w:rPr>
        <w:t>3.3 Etapes detaillees — Mode autonome (POST /sign)</w:t>
      </w:r>
    </w:p>
    <w:p>
      <w:pPr>
        <w:pStyle w:val="ListNumber"/>
      </w:pPr>
      <w:r>
        <w:t>Reception du TEIF non signe et du PIN.</w:t>
      </w:r>
    </w:p>
    <w:p>
      <w:pPr>
        <w:pStyle w:val="ListNumber"/>
      </w:pPr>
      <w:r>
        <w:t>Nettoyage du XML : suppression des retours a la ligne et espaces inter-balises (forme unpretty), et retrait d'un eventuel bloc ds:Signature placeholder.</w:t>
      </w:r>
    </w:p>
    <w:p>
      <w:pPr>
        <w:pStyle w:val="ListNumber"/>
      </w:pPr>
      <w:r>
        <w:t>Ouverture du token PKCS#11 (driver IDPrime, PIN) et lecture de la cle privee + chaine de certificats.</w:t>
      </w:r>
    </w:p>
    <w:p>
      <w:pPr>
        <w:pStyle w:val="ListNumber"/>
      </w:pPr>
      <w:r>
        <w:t>Construction des parametres XAdES-B (politique V3.0, role Fournisseur, SHA-256).</w:t>
      </w:r>
    </w:p>
    <w:p>
      <w:pPr>
        <w:pStyle w:val="ListNumber"/>
      </w:pPr>
      <w:r>
        <w:t>DSS calcule les empreintes des references (document + SignedProperties) -&gt; getDataToSign.</w:t>
      </w:r>
    </w:p>
    <w:p>
      <w:pPr>
        <w:pStyle w:val="ListNumber"/>
      </w:pPr>
      <w:r>
        <w:t>Le token signe l'empreinte du SignedInfo en RSA-SHA256 (la cle privee ne quitte jamais le token).</w:t>
      </w:r>
    </w:p>
    <w:p>
      <w:pPr>
        <w:pStyle w:val="ListNumber"/>
      </w:pPr>
      <w:r>
        <w:t>DSS assemble le bloc ds:Signature (Id=SigFrs) et l'injecte dans le TEIF -&gt; signDocument.</w:t>
      </w:r>
    </w:p>
    <w:p>
      <w:pPr>
        <w:pStyle w:val="ListNumber"/>
      </w:pPr>
      <w:r>
        <w:t>Retour du XML signe complet au client.</w:t>
      </w:r>
    </w:p>
    <w:p>
      <w:pPr>
        <w:pStyle w:val="Heading2"/>
      </w:pPr>
      <w:r>
        <w:rPr>
          <w:color w:val="1E3A5F"/>
          <w:sz w:val="28"/>
        </w:rPr>
        <w:t>3.4 Etapes detaillees — Mode signHash (POST /sign-hash, cible production)</w:t>
      </w:r>
    </w:p>
    <w:p>
      <w:pPr>
        <w:pStyle w:val="ListNumber"/>
      </w:pPr>
      <w:r>
        <w:t>Le frontend recupere la chaine de certificats via GET /certificates (PIN).</w:t>
      </w:r>
    </w:p>
    <w:p>
      <w:pPr>
        <w:pStyle w:val="ListNumber"/>
      </w:pPr>
      <w:r>
        <w:t>Le backend NestJS construit le bloc XAdES V3.0 (SignedProperties + SignedInfo) et calcule les octets canoniques (exc-c14n) du SignedInfo -&gt; etape « prepare ».</w:t>
      </w:r>
    </w:p>
    <w:p>
      <w:pPr>
        <w:pStyle w:val="ListNumber"/>
      </w:pPr>
      <w:r>
        <w:t>Le frontend envoie ces octets (base64) + PIN + certificat a POST /sign-hash.</w:t>
      </w:r>
    </w:p>
    <w:p>
      <w:pPr>
        <w:pStyle w:val="ListNumber"/>
      </w:pPr>
      <w:r>
        <w:t>clic2up-sign ouvre le token et signe ces octets : token.sign(ToBeSigned, SHA256, cle) -&gt; signatureValue RSA. Aucun double-hachage (DSS hache lui-meme les octets recus).</w:t>
      </w:r>
    </w:p>
    <w:p>
      <w:pPr>
        <w:pStyle w:val="ListNumber"/>
      </w:pPr>
      <w:r>
        <w:t>Le backend reinjecte la signatureValue, assemble le TEIF signe -&gt; etape « complete ».</w:t>
      </w:r>
    </w:p>
    <w:p>
      <w:pPr>
        <w:pStyle w:val="ListNumber"/>
      </w:pPr>
      <w:r>
        <w:t>Le meme assembleur XAdES sert pour la voie cle USB et pour la voie DigiGO (HSM cloud).</w:t>
      </w:r>
    </w:p>
    <w:p>
      <w:pPr>
        <w:shd w:val="clear" w:color="auto" w:fill="EFF6FF"/>
        <w:spacing w:before="120" w:after="160"/>
        <w:ind w:left="120"/>
      </w:pPr>
      <w:r>
        <w:rPr>
          <w:b/>
        </w:rPr>
        <w:t xml:space="preserve">Note : </w:t>
      </w:r>
      <w:r>
        <w:t>La signatureValue produite se verifie en RSA-SHA256 contre le SignedInfo assemble par le backend : c'est exactement ce que TTN valide. La voie signHash garantit Id=SigFrs et le profil golden.</w:t>
      </w:r>
    </w:p>
    <w:p>
      <w:r>
        <w:br w:type="page"/>
      </w:r>
    </w:p>
    <w:p>
      <w:pPr>
        <w:pStyle w:val="Heading1"/>
      </w:pPr>
      <w:r>
        <w:rPr>
          <w:color w:val="2563EB"/>
          <w:sz w:val="36"/>
        </w:rPr>
        <w:t>4. API REST</w:t>
      </w:r>
    </w:p>
    <w:p>
      <w:r>
        <w:rPr>
          <w:b w:val="0"/>
        </w:rPr>
        <w:t>Le service expose une API REST sur http://localhost:9876. Toutes les reponses sont en JSON (sauf indication). Le CORS n'autorise que les origines listees au paragraphe 4.6.</w:t>
      </w:r>
    </w:p>
    <w:p>
      <w:pPr>
        <w:pStyle w:val="Heading2"/>
      </w:pPr>
      <w:r>
        <w:rPr>
          <w:color w:val="1E3A5F"/>
          <w:sz w:val="28"/>
        </w:rPr>
        <w:t>4.1 GET /status</w:t>
      </w:r>
    </w:p>
    <w:p>
      <w:r>
        <w:rPr>
          <w:b w:val="0"/>
        </w:rPr>
        <w:t>Verifie que le service est actif.</w:t>
      </w:r>
    </w:p>
    <w:p>
      <w:pPr>
        <w:shd w:val="clear" w:color="auto" w:fill="F1F5F9"/>
        <w:spacing w:before="80" w:after="160"/>
        <w:ind w:left="120"/>
      </w:pPr>
      <w:r>
        <w:rPr>
          <w:rFonts w:ascii="Consolas" w:hAnsi="Consolas"/>
          <w:color w:val="0F172A"/>
          <w:sz w:val="19"/>
        </w:rPr>
        <w:t>{ "status": "running", "version": "1.0" }</w:t>
      </w:r>
    </w:p>
    <w:p>
      <w:pPr>
        <w:pStyle w:val="Heading2"/>
      </w:pPr>
      <w:r>
        <w:rPr>
          <w:color w:val="1E3A5F"/>
          <w:sz w:val="28"/>
        </w:rPr>
        <w:t>4.2 GET /certificates</w:t>
      </w:r>
    </w:p>
    <w:p>
      <w:r>
        <w:rPr>
          <w:b w:val="0"/>
        </w:rPr>
        <w:t>Liste les certificats du token, avec le certificat DER (base64) et la chaine de confiance.</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872"/>
            <w:shd w:val="clear" w:color="auto" w:fill="2563EB"/>
          </w:tcPr>
          <w:p>
            <w:r/>
            <w:r>
              <w:rPr>
                <w:b/>
                <w:color w:val="FFFFFF"/>
                <w:sz w:val="20"/>
              </w:rPr>
              <w:t>Parametre</w:t>
            </w:r>
          </w:p>
        </w:tc>
        <w:tc>
          <w:tcPr>
            <w:tcW w:type="dxa" w:w="1440"/>
            <w:shd w:val="clear" w:color="auto" w:fill="2563EB"/>
          </w:tcPr>
          <w:p>
            <w:r/>
            <w:r>
              <w:rPr>
                <w:b/>
                <w:color w:val="FFFFFF"/>
                <w:sz w:val="20"/>
              </w:rPr>
              <w:t>Requis</w:t>
            </w:r>
          </w:p>
        </w:tc>
        <w:tc>
          <w:tcPr>
            <w:tcW w:type="dxa" w:w="6048"/>
            <w:shd w:val="clear" w:color="auto" w:fill="2563EB"/>
          </w:tcPr>
          <w:p>
            <w:r/>
            <w:r>
              <w:rPr>
                <w:b/>
                <w:color w:val="FFFFFF"/>
                <w:sz w:val="20"/>
              </w:rPr>
              <w:t>Description</w:t>
            </w:r>
          </w:p>
        </w:tc>
      </w:tr>
      <w:tr>
        <w:tc>
          <w:tcPr>
            <w:tcW w:type="dxa" w:w="1872"/>
          </w:tcPr>
          <w:p>
            <w:r/>
            <w:r>
              <w:rPr>
                <w:sz w:val="19"/>
              </w:rPr>
              <w:t>pin</w:t>
            </w:r>
          </w:p>
        </w:tc>
        <w:tc>
          <w:tcPr>
            <w:tcW w:type="dxa" w:w="1440"/>
          </w:tcPr>
          <w:p>
            <w:r/>
            <w:r>
              <w:rPr>
                <w:sz w:val="19"/>
              </w:rPr>
              <w:t>Oui</w:t>
            </w:r>
          </w:p>
        </w:tc>
        <w:tc>
          <w:tcPr>
            <w:tcW w:type="dxa" w:w="6048"/>
          </w:tcPr>
          <w:p>
            <w:r/>
            <w:r>
              <w:rPr>
                <w:sz w:val="19"/>
              </w:rPr>
              <w:t>Code PIN du token</w:t>
            </w:r>
          </w:p>
        </w:tc>
      </w:tr>
      <w:tr>
        <w:tc>
          <w:tcPr>
            <w:tcW w:type="dxa" w:w="1872"/>
          </w:tcPr>
          <w:p>
            <w:r/>
            <w:r>
              <w:rPr>
                <w:sz w:val="19"/>
              </w:rPr>
              <w:t>driver</w:t>
            </w:r>
          </w:p>
        </w:tc>
        <w:tc>
          <w:tcPr>
            <w:tcW w:type="dxa" w:w="1440"/>
          </w:tcPr>
          <w:p>
            <w:r/>
            <w:r>
              <w:rPr>
                <w:sz w:val="19"/>
              </w:rPr>
              <w:t>Non</w:t>
            </w:r>
          </w:p>
        </w:tc>
        <w:tc>
          <w:tcPr>
            <w:tcW w:type="dxa" w:w="6048"/>
          </w:tcPr>
          <w:p>
            <w:r/>
            <w:r>
              <w:rPr>
                <w:sz w:val="19"/>
              </w:rPr>
              <w:t>Chemin du driver PKCS#11 (defaut : IDPrimePKCS1164.dll)</w:t>
            </w:r>
          </w:p>
        </w:tc>
      </w:tr>
    </w:tbl>
    <w:p/>
    <w:p>
      <w:pPr>
        <w:shd w:val="clear" w:color="auto" w:fill="F1F5F9"/>
        <w:spacing w:before="80" w:after="160"/>
        <w:ind w:left="120"/>
      </w:pPr>
      <w:r>
        <w:rPr>
          <w:rFonts w:ascii="Consolas" w:hAnsi="Consolas"/>
          <w:color w:val="0F172A"/>
          <w:sz w:val="19"/>
        </w:rPr>
        <w:t>{</w:t>
      </w:r>
      <w:r>
        <w:br/>
      </w:r>
      <w:r>
        <w:rPr>
          <w:rFonts w:ascii="Consolas" w:hAnsi="Consolas"/>
          <w:color w:val="0F172A"/>
          <w:sz w:val="19"/>
        </w:rPr>
        <w:t xml:space="preserve">  "success": true,</w:t>
      </w:r>
      <w:r>
        <w:br/>
      </w:r>
      <w:r>
        <w:rPr>
          <w:rFonts w:ascii="Consolas" w:hAnsi="Consolas"/>
          <w:color w:val="0F172A"/>
          <w:sz w:val="19"/>
        </w:rPr>
        <w:t xml:space="preserve">  "certificates": [{</w:t>
      </w:r>
      <w:r>
        <w:br/>
      </w:r>
      <w:r>
        <w:rPr>
          <w:rFonts w:ascii="Consolas" w:hAnsi="Consolas"/>
          <w:color w:val="0F172A"/>
          <w:sz w:val="19"/>
        </w:rPr>
        <w:t xml:space="preserve">    "index": 0,</w:t>
      </w:r>
      <w:r>
        <w:br/>
      </w:r>
      <w:r>
        <w:rPr>
          <w:rFonts w:ascii="Consolas" w:hAnsi="Consolas"/>
          <w:color w:val="0F172A"/>
          <w:sz w:val="19"/>
        </w:rPr>
        <w:t xml:space="preserve">    "subject": "CN=RACHID KHALIFA, OU=VATTN-1557686R, O=SOCIETE WEBATG, ...",</w:t>
      </w:r>
      <w:r>
        <w:br/>
      </w:r>
      <w:r>
        <w:rPr>
          <w:rFonts w:ascii="Consolas" w:hAnsi="Consolas"/>
          <w:color w:val="0F172A"/>
          <w:sz w:val="19"/>
        </w:rPr>
        <w:t xml:space="preserve">    "issuer": "CN=TnTrust CA - QSign1, ...",</w:t>
      </w:r>
      <w:r>
        <w:br/>
      </w:r>
      <w:r>
        <w:rPr>
          <w:rFonts w:ascii="Consolas" w:hAnsi="Consolas"/>
          <w:color w:val="0F172A"/>
          <w:sz w:val="19"/>
        </w:rPr>
        <w:t xml:space="preserve">    "serialNumber": "66812358...",</w:t>
      </w:r>
      <w:r>
        <w:br/>
      </w:r>
      <w:r>
        <w:rPr>
          <w:rFonts w:ascii="Consolas" w:hAnsi="Consolas"/>
          <w:color w:val="0F172A"/>
          <w:sz w:val="19"/>
        </w:rPr>
        <w:t xml:space="preserve">    "certificate": "MIIH...",            // DER base64 du signataire</w:t>
      </w:r>
      <w:r>
        <w:br/>
      </w:r>
      <w:r>
        <w:rPr>
          <w:rFonts w:ascii="Consolas" w:hAnsi="Consolas"/>
          <w:color w:val="0F172A"/>
          <w:sz w:val="19"/>
        </w:rPr>
        <w:t xml:space="preserve">    "certificateChain": ["MIIH...", ...] // signataire + intermediaires + racine</w:t>
      </w:r>
      <w:r>
        <w:br/>
      </w:r>
      <w:r>
        <w:rPr>
          <w:rFonts w:ascii="Consolas" w:hAnsi="Consolas"/>
          <w:color w:val="0F172A"/>
          <w:sz w:val="19"/>
        </w:rPr>
        <w:t xml:space="preserve">  }]</w:t>
      </w:r>
      <w:r>
        <w:br/>
      </w:r>
      <w:r>
        <w:rPr>
          <w:rFonts w:ascii="Consolas" w:hAnsi="Consolas"/>
          <w:color w:val="0F172A"/>
          <w:sz w:val="19"/>
        </w:rPr>
        <w:t>}</w:t>
      </w:r>
    </w:p>
    <w:p>
      <w:pPr>
        <w:pStyle w:val="Heading2"/>
      </w:pPr>
      <w:r>
        <w:rPr>
          <w:color w:val="1E3A5F"/>
          <w:sz w:val="28"/>
        </w:rPr>
        <w:t>4.3 POST /sign-hash  (mode signHash)</w:t>
      </w:r>
    </w:p>
    <w:p>
      <w:r>
        <w:rPr>
          <w:b w:val="0"/>
        </w:rPr>
        <w:t>Signe les octets canoniques du SignedInfo. Corps JSON :</w:t>
      </w:r>
    </w:p>
    <w:p>
      <w:pPr>
        <w:shd w:val="clear" w:color="auto" w:fill="F1F5F9"/>
        <w:spacing w:before="80" w:after="160"/>
        <w:ind w:left="120"/>
      </w:pPr>
      <w:r>
        <w:rPr>
          <w:rFonts w:ascii="Consolas" w:hAnsi="Consolas"/>
          <w:color w:val="0F172A"/>
          <w:sz w:val="19"/>
        </w:rPr>
        <w:t>{</w:t>
      </w:r>
      <w:r>
        <w:br/>
      </w:r>
      <w:r>
        <w:rPr>
          <w:rFonts w:ascii="Consolas" w:hAnsi="Consolas"/>
          <w:color w:val="0F172A"/>
          <w:sz w:val="19"/>
        </w:rPr>
        <w:t xml:space="preserve">  "data": "&lt;base64 des octets exc-c14n du SignedInfo&gt;",</w:t>
      </w:r>
      <w:r>
        <w:br/>
      </w:r>
      <w:r>
        <w:rPr>
          <w:rFonts w:ascii="Consolas" w:hAnsi="Consolas"/>
          <w:color w:val="0F172A"/>
          <w:sz w:val="19"/>
        </w:rPr>
        <w:t xml:space="preserve">  "pin": "********",</w:t>
      </w:r>
      <w:r>
        <w:br/>
      </w:r>
      <w:r>
        <w:rPr>
          <w:rFonts w:ascii="Consolas" w:hAnsi="Consolas"/>
          <w:color w:val="0F172A"/>
          <w:sz w:val="19"/>
        </w:rPr>
        <w:t xml:space="preserve">  "certificate": "&lt;DER base64 du signataire&gt;",  // optionnel (selection de cle)</w:t>
      </w:r>
      <w:r>
        <w:br/>
      </w:r>
      <w:r>
        <w:rPr>
          <w:rFonts w:ascii="Consolas" w:hAnsi="Consolas"/>
          <w:color w:val="0F172A"/>
          <w:sz w:val="19"/>
        </w:rPr>
        <w:t xml:space="preserve">  "driverPath": "C:\\...\\IDPrimePKCS1164.dll" // optionnel</w:t>
      </w:r>
      <w:r>
        <w:br/>
      </w:r>
      <w:r>
        <w:rPr>
          <w:rFonts w:ascii="Consolas" w:hAnsi="Consolas"/>
          <w:color w:val="0F172A"/>
          <w:sz w:val="19"/>
        </w:rPr>
        <w:t>}</w:t>
      </w:r>
    </w:p>
    <w:p>
      <w:pPr>
        <w:shd w:val="clear" w:color="auto" w:fill="F1F5F9"/>
        <w:spacing w:before="80" w:after="160"/>
        <w:ind w:left="120"/>
      </w:pPr>
      <w:r>
        <w:rPr>
          <w:rFonts w:ascii="Consolas" w:hAnsi="Consolas"/>
          <w:color w:val="0F172A"/>
          <w:sz w:val="19"/>
        </w:rPr>
        <w:t>{ "success": true, "signatureValue": "&lt;RSA base64&gt;" }</w:t>
      </w:r>
    </w:p>
    <w:p>
      <w:pPr>
        <w:pStyle w:val="Heading2"/>
      </w:pPr>
      <w:r>
        <w:rPr>
          <w:color w:val="1E3A5F"/>
          <w:sz w:val="28"/>
        </w:rPr>
        <w:t>4.4 POST /sign  (mode autonome)</w:t>
      </w:r>
    </w:p>
    <w:p>
      <w:r>
        <w:rPr>
          <w:b w:val="0"/>
        </w:rPr>
        <w:t>Signe un TEIF complet. Corps JSON :</w:t>
      </w:r>
    </w:p>
    <w:p>
      <w:pPr>
        <w:shd w:val="clear" w:color="auto" w:fill="F1F5F9"/>
        <w:spacing w:before="80" w:after="160"/>
        <w:ind w:left="120"/>
      </w:pPr>
      <w:r>
        <w:rPr>
          <w:rFonts w:ascii="Consolas" w:hAnsi="Consolas"/>
          <w:color w:val="0F172A"/>
          <w:sz w:val="19"/>
        </w:rPr>
        <w:t>{ "xml": "&lt;?xml ...&gt;&lt;TEIF ...&gt;...&lt;/TEIF&gt;", "pin": "********", "driverPath": "..." }</w:t>
      </w:r>
    </w:p>
    <w:p>
      <w:pPr>
        <w:shd w:val="clear" w:color="auto" w:fill="F1F5F9"/>
        <w:spacing w:before="80" w:after="160"/>
        <w:ind w:left="120"/>
      </w:pPr>
      <w:r>
        <w:rPr>
          <w:rFonts w:ascii="Consolas" w:hAnsi="Consolas"/>
          <w:color w:val="0F172A"/>
          <w:sz w:val="19"/>
        </w:rPr>
        <w:t>{ "success": true, "signedXml": "&lt;?xml ...&gt;&lt;TEIF ...&gt;&lt;ds:Signature Id=\"SigFrs\"&gt;...&lt;/TEIF&gt;" }</w:t>
      </w:r>
    </w:p>
    <w:p>
      <w:pPr>
        <w:pStyle w:val="Heading2"/>
      </w:pPr>
      <w:r>
        <w:rPr>
          <w:color w:val="1E3A5F"/>
          <w:sz w:val="28"/>
        </w:rPr>
        <w:t>4.5 POST /validate</w:t>
      </w:r>
    </w:p>
    <w:p>
      <w:r>
        <w:rPr>
          <w:b w:val="0"/>
        </w:rPr>
        <w:t>Valide la signature d'un TEIF signe (DSS, hors-ligne). Corps : { "signedXml": "..." } -&gt; { "success": true, "valid": true|false }.</w:t>
      </w:r>
    </w:p>
    <w:p>
      <w:pPr>
        <w:pStyle w:val="Heading2"/>
      </w:pPr>
      <w:r>
        <w:rPr>
          <w:color w:val="1E3A5F"/>
          <w:sz w:val="28"/>
        </w:rPr>
        <w:t>4.6 Origines CORS autorisees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563EB"/>
          </w:tcPr>
          <w:p>
            <w:r/>
            <w:r>
              <w:rPr>
                <w:b/>
                <w:color w:val="FFFFFF"/>
                <w:sz w:val="20"/>
              </w:rPr>
              <w:t>Origine</w:t>
            </w:r>
          </w:p>
        </w:tc>
        <w:tc>
          <w:tcPr>
            <w:tcW w:type="dxa" w:w="5040"/>
            <w:shd w:val="clear" w:color="auto" w:fill="2563EB"/>
          </w:tcPr>
          <w:p>
            <w:r/>
            <w:r>
              <w:rPr>
                <w:b/>
                <w:color w:val="FFFFFF"/>
                <w:sz w:val="20"/>
              </w:rPr>
              <w:t>Environnement</w:t>
            </w:r>
          </w:p>
        </w:tc>
      </w:tr>
      <w:tr>
        <w:tc>
          <w:tcPr>
            <w:tcW w:type="dxa" w:w="4320"/>
          </w:tcPr>
          <w:p>
            <w:r/>
            <w:r>
              <w:rPr>
                <w:sz w:val="19"/>
              </w:rPr>
              <w:t>http://localhost:5173</w:t>
            </w:r>
          </w:p>
        </w:tc>
        <w:tc>
          <w:tcPr>
            <w:tcW w:type="dxa" w:w="5040"/>
          </w:tcPr>
          <w:p>
            <w:r/>
            <w:r>
              <w:rPr>
                <w:sz w:val="19"/>
              </w:rPr>
              <w:t>Developpement (Vite)</w:t>
            </w:r>
          </w:p>
        </w:tc>
      </w:tr>
      <w:tr>
        <w:tc>
          <w:tcPr>
            <w:tcW w:type="dxa" w:w="4320"/>
          </w:tcPr>
          <w:p>
            <w:r/>
            <w:r>
              <w:rPr>
                <w:sz w:val="19"/>
              </w:rPr>
              <w:t>http://localhost:3000</w:t>
            </w:r>
          </w:p>
        </w:tc>
        <w:tc>
          <w:tcPr>
            <w:tcW w:type="dxa" w:w="5040"/>
          </w:tcPr>
          <w:p>
            <w:r/>
            <w:r>
              <w:rPr>
                <w:sz w:val="19"/>
              </w:rPr>
              <w:t>Developpement (alternatif)</w:t>
            </w:r>
          </w:p>
        </w:tc>
      </w:tr>
      <w:tr>
        <w:tc>
          <w:tcPr>
            <w:tcW w:type="dxa" w:w="4320"/>
          </w:tcPr>
          <w:p>
            <w:r/>
            <w:r>
              <w:rPr>
                <w:sz w:val="19"/>
              </w:rPr>
              <w:t>http://localhost:3009</w:t>
            </w:r>
          </w:p>
        </w:tc>
        <w:tc>
          <w:tcPr>
            <w:tcW w:type="dxa" w:w="5040"/>
          </w:tcPr>
          <w:p>
            <w:r/>
            <w:r>
              <w:rPr>
                <w:sz w:val="19"/>
              </w:rPr>
              <w:t>Developpement (alternatif)</w:t>
            </w:r>
          </w:p>
        </w:tc>
      </w:tr>
      <w:tr>
        <w:tc>
          <w:tcPr>
            <w:tcW w:type="dxa" w:w="4320"/>
          </w:tcPr>
          <w:p>
            <w:r/>
            <w:r>
              <w:rPr>
                <w:sz w:val="19"/>
              </w:rPr>
              <w:t>https://app.clic2up.com</w:t>
            </w:r>
          </w:p>
        </w:tc>
        <w:tc>
          <w:tcPr>
            <w:tcW w:type="dxa" w:w="5040"/>
          </w:tcPr>
          <w:p>
            <w:r/>
            <w:r>
              <w:rPr>
                <w:sz w:val="19"/>
              </w:rPr>
              <w:t>Production</w:t>
            </w:r>
          </w:p>
        </w:tc>
      </w:tr>
    </w:tbl>
    <w:p/>
    <w:p>
      <w:pPr>
        <w:pStyle w:val="Heading2"/>
      </w:pPr>
      <w:r>
        <w:rPr>
          <w:color w:val="1E3A5F"/>
          <w:sz w:val="28"/>
        </w:rPr>
        <w:t>4.7 Reponses d'erreur et messages utilisateur</w:t>
      </w:r>
    </w:p>
    <w:p>
      <w:r>
        <w:rPr>
          <w:b w:val="0"/>
        </w:rPr>
        <w:t>En cas d'erreur, les endpoints renvoient un JSON { success:false, message, error, errorMessage, stacktrace }. Le champ message est un texte EN FRANCAIS pret a afficher par le front ; les autres champs sont techniques (debug). clic2up-sign classe l'erreur et fournit le bon message :</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92"/>
            <w:shd w:val="clear" w:color="auto" w:fill="2563EB"/>
          </w:tcPr>
          <w:p>
            <w:r/>
            <w:r>
              <w:rPr>
                <w:b/>
                <w:color w:val="FFFFFF"/>
                <w:sz w:val="20"/>
              </w:rPr>
              <w:t>Situation</w:t>
            </w:r>
          </w:p>
        </w:tc>
        <w:tc>
          <w:tcPr>
            <w:tcW w:type="dxa" w:w="6768"/>
            <w:shd w:val="clear" w:color="auto" w:fill="2563EB"/>
          </w:tcPr>
          <w:p>
            <w:r/>
            <w:r>
              <w:rPr>
                <w:b/>
                <w:color w:val="FFFFFF"/>
                <w:sz w:val="20"/>
              </w:rPr>
              <w:t>message (FR) renvoye par clic2up-sign</w:t>
            </w:r>
          </w:p>
        </w:tc>
      </w:tr>
      <w:tr>
        <w:tc>
          <w:tcPr>
            <w:tcW w:type="dxa" w:w="2592"/>
          </w:tcPr>
          <w:p>
            <w:r/>
            <w:r>
              <w:rPr>
                <w:sz w:val="19"/>
              </w:rPr>
              <w:t>Aucun pilote installe</w:t>
            </w:r>
          </w:p>
        </w:tc>
        <w:tc>
          <w:tcPr>
            <w:tcW w:type="dxa" w:w="6768"/>
          </w:tcPr>
          <w:p>
            <w:r/>
            <w:r>
              <w:rPr>
                <w:sz w:val="19"/>
              </w:rPr>
              <w:t>Aucun pilote de signature n'a ete detecte sur ce poste. Veuillez installer le pilote de la cle (SafeNet Authentication Client).</w:t>
            </w:r>
          </w:p>
        </w:tc>
      </w:tr>
      <w:tr>
        <w:tc>
          <w:tcPr>
            <w:tcW w:type="dxa" w:w="2592"/>
          </w:tcPr>
          <w:p>
            <w:r/>
            <w:r>
              <w:rPr>
                <w:sz w:val="19"/>
              </w:rPr>
              <w:t>Cle USB non branchee</w:t>
            </w:r>
          </w:p>
        </w:tc>
        <w:tc>
          <w:tcPr>
            <w:tcW w:type="dxa" w:w="6768"/>
          </w:tcPr>
          <w:p>
            <w:r/>
            <w:r>
              <w:rPr>
                <w:sz w:val="19"/>
              </w:rPr>
              <w:t>Aucune cle USB de signature detectee. Veuillez brancher votre cle puis reessayer.</w:t>
            </w:r>
          </w:p>
        </w:tc>
      </w:tr>
      <w:tr>
        <w:tc>
          <w:tcPr>
            <w:tcW w:type="dxa" w:w="2592"/>
          </w:tcPr>
          <w:p>
            <w:r/>
            <w:r>
              <w:rPr>
                <w:sz w:val="19"/>
              </w:rPr>
              <w:t>Code PIN incorrect</w:t>
            </w:r>
          </w:p>
        </w:tc>
        <w:tc>
          <w:tcPr>
            <w:tcW w:type="dxa" w:w="6768"/>
          </w:tcPr>
          <w:p>
            <w:r/>
            <w:r>
              <w:rPr>
                <w:sz w:val="19"/>
              </w:rPr>
              <w:t>Code PIN incorrect. Veuillez reessayer (attention : la cle se bloque apres plusieurs erreurs).</w:t>
            </w:r>
          </w:p>
        </w:tc>
      </w:tr>
      <w:tr>
        <w:tc>
          <w:tcPr>
            <w:tcW w:type="dxa" w:w="2592"/>
          </w:tcPr>
          <w:p>
            <w:r/>
            <w:r>
              <w:rPr>
                <w:sz w:val="19"/>
              </w:rPr>
              <w:t>Cle bloquee</w:t>
            </w:r>
          </w:p>
        </w:tc>
        <w:tc>
          <w:tcPr>
            <w:tcW w:type="dxa" w:w="6768"/>
          </w:tcPr>
          <w:p>
            <w:r/>
            <w:r>
              <w:rPr>
                <w:sz w:val="19"/>
              </w:rPr>
              <w:t>Votre cle de signature est bloquee (trop de tentatives de code PIN). Veuillez la debloquer aupres de TunTrust.</w:t>
            </w:r>
          </w:p>
        </w:tc>
      </w:tr>
    </w:tbl>
    <w:p/>
    <w:p>
      <w:pPr>
        <w:shd w:val="clear" w:color="auto" w:fill="EFF6FF"/>
        <w:spacing w:before="120" w:after="160"/>
        <w:ind w:left="120"/>
      </w:pPr>
      <w:r>
        <w:rPr>
          <w:b/>
        </w:rPr>
        <w:t xml:space="preserve">Note : </w:t>
      </w:r>
      <w:r>
        <w:t>Repartition des roles : clic2up-sign renvoie le message FR (cle non branchee, pilote absent, PIN incorrect/bloque) et le front l'affiche tel quel. Le seul cas que clic2up-sign ne peut pas signaler lui-meme est « service non lance » (localhost:9876 injoignable) : c'est au front de l'afficher quand l'appel reseau echoue.</w:t>
      </w:r>
    </w:p>
    <w:p>
      <w:r>
        <w:br w:type="page"/>
      </w:r>
    </w:p>
    <w:p>
      <w:pPr>
        <w:pStyle w:val="Heading1"/>
      </w:pPr>
      <w:r>
        <w:rPr>
          <w:color w:val="2563EB"/>
          <w:sz w:val="36"/>
        </w:rPr>
        <w:t>5. Integration ElFatoora (depot et QR)</w:t>
      </w:r>
    </w:p>
    <w:p>
      <w:r>
        <w:rPr>
          <w:b w:val="0"/>
        </w:rPr>
        <w:t>Une fois le TEIF signe, il est depose sur la plateforme ElFatoora via le web service SOAP, depuis le backend (dont l'IP doit etre whitelistee par TTN).</w:t>
      </w:r>
    </w:p>
    <w:p>
      <w:pPr>
        <w:pStyle w:val="Heading2"/>
      </w:pPr>
      <w:r>
        <w:rPr>
          <w:color w:val="1E3A5F"/>
          <w:sz w:val="28"/>
        </w:rPr>
        <w:t>5.1 Depot — saveEfact</w:t>
      </w:r>
    </w:p>
    <w:p>
      <w:r>
        <w:rPr>
          <w:b w:val="0"/>
        </w:rPr>
        <w:t>Operation SOAP saveEfact(login, password, matricule, documentEfact[base64]) -&gt; message de statut.</w:t>
      </w:r>
    </w:p>
    <w:p>
      <w:pPr>
        <w:pStyle w:val="ListBullet"/>
      </w:pPr>
      <w:r>
        <w:rPr>
          <w:b/>
        </w:rPr>
        <w:t xml:space="preserve">Validation immediate : </w:t>
      </w:r>
      <w:r>
        <w:t>authentification, matricule (= MessageSenderIdentifier, regle CONTRL05), conformite XSD 1.8.8, signataire autorise.</w:t>
      </w:r>
    </w:p>
    <w:p>
      <w:pPr>
        <w:pStyle w:val="ListBullet"/>
      </w:pPr>
      <w:r>
        <w:rPr>
          <w:b/>
        </w:rPr>
        <w:t xml:space="preserve">Reponse type : </w:t>
      </w:r>
      <w:r>
        <w:t>« Facture enregistree avec ID: 2034312 est en cours de validation : conforme a la version 1.8.8 du xsd ».</w:t>
      </w:r>
    </w:p>
    <w:p>
      <w:pPr>
        <w:pStyle w:val="Heading2"/>
      </w:pPr>
      <w:r>
        <w:rPr>
          <w:color w:val="1E3A5F"/>
          <w:sz w:val="28"/>
        </w:rPr>
        <w:t>5.2 Suivi — consultEfact</w:t>
      </w:r>
    </w:p>
    <w:p>
      <w:r>
        <w:rPr>
          <w:b w:val="0"/>
        </w:rPr>
        <w:t>La validation du noyau (signature + politique) est asynchrone. consultEfact (par idSaveEfact ou documentNumber) renvoie le resultat final :</w:t>
      </w:r>
    </w:p>
    <w:p>
      <w:pPr>
        <w:pStyle w:val="ListBullet"/>
      </w:pPr>
      <w:r>
        <w:rPr>
          <w:b/>
        </w:rPr>
        <w:t xml:space="preserve">generatedRef : </w:t>
      </w:r>
      <w:r>
        <w:t>la reference TTN attribuee a la facture validee.</w:t>
      </w:r>
    </w:p>
    <w:p>
      <w:pPr>
        <w:pStyle w:val="ListBullet"/>
      </w:pPr>
      <w:r>
        <w:rPr>
          <w:b/>
        </w:rPr>
        <w:t xml:space="preserve">XML final : </w:t>
      </w:r>
      <w:r>
        <w:t>le TEIF signe par le fournisseur (SigFrs) ET par TTN (SigTTN), avec le bloc RefTtnVal.</w:t>
      </w:r>
    </w:p>
    <w:p>
      <w:pPr>
        <w:pStyle w:val="ListBullet"/>
      </w:pPr>
      <w:r>
        <w:rPr>
          <w:b/>
        </w:rPr>
        <w:t xml:space="preserve">QR code : </w:t>
      </w:r>
      <w:r>
        <w:t>image PNG portee par l'element ReferenceCEV du bloc RefTtnVal.</w:t>
      </w:r>
    </w:p>
    <w:p>
      <w:pPr>
        <w:pStyle w:val="ListBullet"/>
      </w:pPr>
      <w:r>
        <w:rPr>
          <w:b/>
        </w:rPr>
        <w:t xml:space="preserve">Acquittements : </w:t>
      </w:r>
      <w:r>
        <w:t>vide si valide ; sinon codes d'erreur (ex. 211806 OID invalide, SERV09 signataire non autorise).</w:t>
      </w:r>
    </w:p>
    <w:p>
      <w:pPr>
        <w:shd w:val="clear" w:color="auto" w:fill="EFF6FF"/>
        <w:spacing w:before="120" w:after="160"/>
        <w:ind w:left="120"/>
      </w:pPr>
      <w:r>
        <w:rPr>
          <w:b/>
        </w:rPr>
        <w:t xml:space="preserve">Note : </w:t>
      </w:r>
      <w:r>
        <w:t>Resultat de la validation de bout en bout (clic2up-sign 1.0, voie cle USB) : facture acceptee, reference TTN attribuee, QR + SigTTN + RefTtnVal obtenus, 0 acquittement negatif.</w:t>
      </w:r>
    </w:p>
    <w:p>
      <w:pPr>
        <w:shd w:val="clear" w:color="auto" w:fill="FEF3C7"/>
        <w:spacing w:before="120" w:after="160"/>
        <w:ind w:left="120"/>
      </w:pPr>
      <w:r>
        <w:rPr>
          <w:b/>
        </w:rPr>
        <w:t xml:space="preserve">Attention : </w:t>
      </w:r>
      <w:r>
        <w:t>La plateforme deduplique par DocumentIdentifier : redeposer le meme numero renvoie « SERV01 — Le document est existant ». Utiliser un numero unique par facture.</w:t>
      </w:r>
    </w:p>
    <w:p>
      <w:r>
        <w:br w:type="page"/>
      </w:r>
    </w:p>
    <w:p>
      <w:pPr>
        <w:pStyle w:val="Heading1"/>
      </w:pPr>
      <w:r>
        <w:rPr>
          <w:color w:val="2563EB"/>
          <w:sz w:val="36"/>
        </w:rPr>
        <w:t>6. Technologies et architecture logicielle</w:t>
      </w:r>
    </w:p>
    <w:p>
      <w:pPr>
        <w:pStyle w:val="Heading2"/>
      </w:pPr>
      <w:r>
        <w:rPr>
          <w:color w:val="1E3A5F"/>
          <w:sz w:val="28"/>
        </w:rPr>
        <w:t>6.1 Stack technique</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563EB"/>
          </w:tcPr>
          <w:p>
            <w:r/>
            <w:r>
              <w:rPr>
                <w:b/>
                <w:color w:val="FFFFFF"/>
                <w:sz w:val="20"/>
              </w:rPr>
              <w:t>Composant</w:t>
            </w:r>
          </w:p>
        </w:tc>
        <w:tc>
          <w:tcPr>
            <w:tcW w:type="dxa" w:w="2448"/>
            <w:shd w:val="clear" w:color="auto" w:fill="2563EB"/>
          </w:tcPr>
          <w:p>
            <w:r/>
            <w:r>
              <w:rPr>
                <w:b/>
                <w:color w:val="FFFFFF"/>
                <w:sz w:val="20"/>
              </w:rPr>
              <w:t>Technologie</w:t>
            </w:r>
          </w:p>
        </w:tc>
        <w:tc>
          <w:tcPr>
            <w:tcW w:type="dxa" w:w="1584"/>
            <w:shd w:val="clear" w:color="auto" w:fill="2563EB"/>
          </w:tcPr>
          <w:p>
            <w:r/>
            <w:r>
              <w:rPr>
                <w:b/>
                <w:color w:val="FFFFFF"/>
                <w:sz w:val="20"/>
              </w:rPr>
              <w:t>Version</w:t>
            </w:r>
          </w:p>
        </w:tc>
        <w:tc>
          <w:tcPr>
            <w:tcW w:type="dxa" w:w="3168"/>
            <w:shd w:val="clear" w:color="auto" w:fill="2563EB"/>
          </w:tcPr>
          <w:p>
            <w:r/>
            <w:r>
              <w:rPr>
                <w:b/>
                <w:color w:val="FFFFFF"/>
                <w:sz w:val="20"/>
              </w:rPr>
              <w:t>Role</w:t>
            </w:r>
          </w:p>
        </w:tc>
      </w:tr>
      <w:tr>
        <w:tc>
          <w:tcPr>
            <w:tcW w:type="dxa" w:w="2160"/>
          </w:tcPr>
          <w:p>
            <w:r/>
            <w:r>
              <w:rPr>
                <w:sz w:val="19"/>
              </w:rPr>
              <w:t>Langage</w:t>
            </w:r>
          </w:p>
        </w:tc>
        <w:tc>
          <w:tcPr>
            <w:tcW w:type="dxa" w:w="2448"/>
          </w:tcPr>
          <w:p>
            <w:r/>
            <w:r>
              <w:rPr>
                <w:sz w:val="19"/>
              </w:rPr>
              <w:t>Java</w:t>
            </w:r>
          </w:p>
        </w:tc>
        <w:tc>
          <w:tcPr>
            <w:tcW w:type="dxa" w:w="1584"/>
          </w:tcPr>
          <w:p>
            <w:r/>
            <w:r>
              <w:rPr>
                <w:sz w:val="19"/>
              </w:rPr>
              <w:t>17 (LTS)</w:t>
            </w:r>
          </w:p>
        </w:tc>
        <w:tc>
          <w:tcPr>
            <w:tcW w:type="dxa" w:w="3168"/>
          </w:tcPr>
          <w:p>
            <w:r/>
            <w:r>
              <w:rPr>
                <w:sz w:val="19"/>
              </w:rPr>
              <w:t>Langage principal</w:t>
            </w:r>
          </w:p>
        </w:tc>
      </w:tr>
      <w:tr>
        <w:tc>
          <w:tcPr>
            <w:tcW w:type="dxa" w:w="2160"/>
          </w:tcPr>
          <w:p>
            <w:r/>
            <w:r>
              <w:rPr>
                <w:sz w:val="19"/>
              </w:rPr>
              <w:t>JDK</w:t>
            </w:r>
          </w:p>
        </w:tc>
        <w:tc>
          <w:tcPr>
            <w:tcW w:type="dxa" w:w="2448"/>
          </w:tcPr>
          <w:p>
            <w:r/>
            <w:r>
              <w:rPr>
                <w:sz w:val="19"/>
              </w:rPr>
              <w:t>Eclipse Temurin</w:t>
            </w:r>
          </w:p>
        </w:tc>
        <w:tc>
          <w:tcPr>
            <w:tcW w:type="dxa" w:w="1584"/>
          </w:tcPr>
          <w:p>
            <w:r/>
            <w:r>
              <w:rPr>
                <w:sz w:val="19"/>
              </w:rPr>
              <w:t>17.0.18.8</w:t>
            </w:r>
          </w:p>
        </w:tc>
        <w:tc>
          <w:tcPr>
            <w:tcW w:type="dxa" w:w="3168"/>
          </w:tcPr>
          <w:p>
            <w:r/>
            <w:r>
              <w:rPr>
                <w:sz w:val="19"/>
              </w:rPr>
              <w:t>JDK embarque dans l'exe</w:t>
            </w:r>
          </w:p>
        </w:tc>
      </w:tr>
      <w:tr>
        <w:tc>
          <w:tcPr>
            <w:tcW w:type="dxa" w:w="2160"/>
          </w:tcPr>
          <w:p>
            <w:r/>
            <w:r>
              <w:rPr>
                <w:sz w:val="19"/>
              </w:rPr>
              <w:t>Serveur HTTP</w:t>
            </w:r>
          </w:p>
        </w:tc>
        <w:tc>
          <w:tcPr>
            <w:tcW w:type="dxa" w:w="2448"/>
          </w:tcPr>
          <w:p>
            <w:r/>
            <w:r>
              <w:rPr>
                <w:sz w:val="19"/>
              </w:rPr>
              <w:t>Javalin</w:t>
            </w:r>
          </w:p>
        </w:tc>
        <w:tc>
          <w:tcPr>
            <w:tcW w:type="dxa" w:w="1584"/>
          </w:tcPr>
          <w:p>
            <w:r/>
            <w:r>
              <w:rPr>
                <w:sz w:val="19"/>
              </w:rPr>
              <w:t>6.x</w:t>
            </w:r>
          </w:p>
        </w:tc>
        <w:tc>
          <w:tcPr>
            <w:tcW w:type="dxa" w:w="3168"/>
          </w:tcPr>
          <w:p>
            <w:r/>
            <w:r>
              <w:rPr>
                <w:sz w:val="19"/>
              </w:rPr>
              <w:t>Framework HTTP leger (Jetty)</w:t>
            </w:r>
          </w:p>
        </w:tc>
      </w:tr>
      <w:tr>
        <w:tc>
          <w:tcPr>
            <w:tcW w:type="dxa" w:w="2160"/>
          </w:tcPr>
          <w:p>
            <w:r/>
            <w:r>
              <w:rPr>
                <w:sz w:val="19"/>
              </w:rPr>
              <w:t>Signature</w:t>
            </w:r>
          </w:p>
        </w:tc>
        <w:tc>
          <w:tcPr>
            <w:tcW w:type="dxa" w:w="2448"/>
          </w:tcPr>
          <w:p>
            <w:r/>
            <w:r>
              <w:rPr>
                <w:sz w:val="19"/>
              </w:rPr>
              <w:t>EU DSS</w:t>
            </w:r>
          </w:p>
        </w:tc>
        <w:tc>
          <w:tcPr>
            <w:tcW w:type="dxa" w:w="1584"/>
          </w:tcPr>
          <w:p>
            <w:r/>
            <w:r>
              <w:rPr>
                <w:sz w:val="19"/>
              </w:rPr>
              <w:t>6.0</w:t>
            </w:r>
          </w:p>
        </w:tc>
        <w:tc>
          <w:tcPr>
            <w:tcW w:type="dxa" w:w="3168"/>
          </w:tcPr>
          <w:p>
            <w:r/>
            <w:r>
              <w:rPr>
                <w:sz w:val="19"/>
              </w:rPr>
              <w:t>Digital Signature Services</w:t>
            </w:r>
          </w:p>
        </w:tc>
      </w:tr>
      <w:tr>
        <w:tc>
          <w:tcPr>
            <w:tcW w:type="dxa" w:w="2160"/>
          </w:tcPr>
          <w:p>
            <w:r/>
            <w:r>
              <w:rPr>
                <w:sz w:val="19"/>
              </w:rPr>
              <w:t>Acces cle USB</w:t>
            </w:r>
          </w:p>
        </w:tc>
        <w:tc>
          <w:tcPr>
            <w:tcW w:type="dxa" w:w="2448"/>
          </w:tcPr>
          <w:p>
            <w:r/>
            <w:r>
              <w:rPr>
                <w:sz w:val="19"/>
              </w:rPr>
              <w:t>SunPKCS11</w:t>
            </w:r>
          </w:p>
        </w:tc>
        <w:tc>
          <w:tcPr>
            <w:tcW w:type="dxa" w:w="1584"/>
          </w:tcPr>
          <w:p>
            <w:r/>
            <w:r>
              <w:rPr>
                <w:sz w:val="19"/>
              </w:rPr>
              <w:t>JDK 17</w:t>
            </w:r>
          </w:p>
        </w:tc>
        <w:tc>
          <w:tcPr>
            <w:tcW w:type="dxa" w:w="3168"/>
          </w:tcPr>
          <w:p>
            <w:r/>
            <w:r>
              <w:rPr>
                <w:sz w:val="19"/>
              </w:rPr>
              <w:t>Provider PKCS#11 natif</w:t>
            </w:r>
          </w:p>
        </w:tc>
      </w:tr>
      <w:tr>
        <w:tc>
          <w:tcPr>
            <w:tcW w:type="dxa" w:w="2160"/>
          </w:tcPr>
          <w:p>
            <w:r/>
            <w:r>
              <w:rPr>
                <w:sz w:val="19"/>
              </w:rPr>
              <w:t>JSON</w:t>
            </w:r>
          </w:p>
        </w:tc>
        <w:tc>
          <w:tcPr>
            <w:tcW w:type="dxa" w:w="2448"/>
          </w:tcPr>
          <w:p>
            <w:r/>
            <w:r>
              <w:rPr>
                <w:sz w:val="19"/>
              </w:rPr>
              <w:t>GSON / Jackson</w:t>
            </w:r>
          </w:p>
        </w:tc>
        <w:tc>
          <w:tcPr>
            <w:tcW w:type="dxa" w:w="1584"/>
          </w:tcPr>
          <w:p>
            <w:r/>
            <w:r>
              <w:rPr>
                <w:sz w:val="19"/>
              </w:rPr>
              <w:t>2.x</w:t>
            </w:r>
          </w:p>
        </w:tc>
        <w:tc>
          <w:tcPr>
            <w:tcW w:type="dxa" w:w="3168"/>
          </w:tcPr>
          <w:p>
            <w:r/>
            <w:r>
              <w:rPr>
                <w:sz w:val="19"/>
              </w:rPr>
              <w:t>Parsing / serialisation</w:t>
            </w:r>
          </w:p>
        </w:tc>
      </w:tr>
      <w:tr>
        <w:tc>
          <w:tcPr>
            <w:tcW w:type="dxa" w:w="2160"/>
          </w:tcPr>
          <w:p>
            <w:r/>
            <w:r>
              <w:rPr>
                <w:sz w:val="19"/>
              </w:rPr>
              <w:t>Build</w:t>
            </w:r>
          </w:p>
        </w:tc>
        <w:tc>
          <w:tcPr>
            <w:tcW w:type="dxa" w:w="2448"/>
          </w:tcPr>
          <w:p>
            <w:r/>
            <w:r>
              <w:rPr>
                <w:sz w:val="19"/>
              </w:rPr>
              <w:t>Apache Maven</w:t>
            </w:r>
          </w:p>
        </w:tc>
        <w:tc>
          <w:tcPr>
            <w:tcW w:type="dxa" w:w="1584"/>
          </w:tcPr>
          <w:p>
            <w:r/>
            <w:r>
              <w:rPr>
                <w:sz w:val="19"/>
              </w:rPr>
              <w:t>3.8+</w:t>
            </w:r>
          </w:p>
        </w:tc>
        <w:tc>
          <w:tcPr>
            <w:tcW w:type="dxa" w:w="3168"/>
          </w:tcPr>
          <w:p>
            <w:r/>
            <w:r>
              <w:rPr>
                <w:sz w:val="19"/>
              </w:rPr>
              <w:t>Compilation + fat JAR</w:t>
            </w:r>
          </w:p>
        </w:tc>
      </w:tr>
      <w:tr>
        <w:tc>
          <w:tcPr>
            <w:tcW w:type="dxa" w:w="2160"/>
          </w:tcPr>
          <w:p>
            <w:r/>
            <w:r>
              <w:rPr>
                <w:sz w:val="19"/>
              </w:rPr>
              <w:t>Packaging</w:t>
            </w:r>
          </w:p>
        </w:tc>
        <w:tc>
          <w:tcPr>
            <w:tcW w:type="dxa" w:w="2448"/>
          </w:tcPr>
          <w:p>
            <w:r/>
            <w:r>
              <w:rPr>
                <w:sz w:val="19"/>
              </w:rPr>
              <w:t>jpackage</w:t>
            </w:r>
          </w:p>
        </w:tc>
        <w:tc>
          <w:tcPr>
            <w:tcW w:type="dxa" w:w="1584"/>
          </w:tcPr>
          <w:p>
            <w:r/>
            <w:r>
              <w:rPr>
                <w:sz w:val="19"/>
              </w:rPr>
              <w:t>JDK 17</w:t>
            </w:r>
          </w:p>
        </w:tc>
        <w:tc>
          <w:tcPr>
            <w:tcW w:type="dxa" w:w="3168"/>
          </w:tcPr>
          <w:p>
            <w:r/>
            <w:r>
              <w:rPr>
                <w:sz w:val="19"/>
              </w:rPr>
              <w:t>Exe Windows + JRE embarque</w:t>
            </w:r>
          </w:p>
        </w:tc>
      </w:tr>
      <w:tr>
        <w:tc>
          <w:tcPr>
            <w:tcW w:type="dxa" w:w="2160"/>
          </w:tcPr>
          <w:p>
            <w:r/>
            <w:r>
              <w:rPr>
                <w:sz w:val="19"/>
              </w:rPr>
              <w:t>Installeur</w:t>
            </w:r>
          </w:p>
        </w:tc>
        <w:tc>
          <w:tcPr>
            <w:tcW w:type="dxa" w:w="2448"/>
          </w:tcPr>
          <w:p>
            <w:r/>
            <w:r>
              <w:rPr>
                <w:sz w:val="19"/>
              </w:rPr>
              <w:t>Inno Setup</w:t>
            </w:r>
          </w:p>
        </w:tc>
        <w:tc>
          <w:tcPr>
            <w:tcW w:type="dxa" w:w="1584"/>
          </w:tcPr>
          <w:p>
            <w:r/>
            <w:r>
              <w:rPr>
                <w:sz w:val="19"/>
              </w:rPr>
              <w:t>6</w:t>
            </w:r>
          </w:p>
        </w:tc>
        <w:tc>
          <w:tcPr>
            <w:tcW w:type="dxa" w:w="3168"/>
          </w:tcPr>
          <w:p>
            <w:r/>
            <w:r>
              <w:rPr>
                <w:sz w:val="19"/>
              </w:rPr>
              <w:t>Installeur Windows (.exe setup)</w:t>
            </w:r>
          </w:p>
        </w:tc>
      </w:tr>
      <w:tr>
        <w:tc>
          <w:tcPr>
            <w:tcW w:type="dxa" w:w="2160"/>
          </w:tcPr>
          <w:p>
            <w:r/>
            <w:r>
              <w:rPr>
                <w:sz w:val="19"/>
              </w:rPr>
              <w:t>Interface</w:t>
            </w:r>
          </w:p>
        </w:tc>
        <w:tc>
          <w:tcPr>
            <w:tcW w:type="dxa" w:w="2448"/>
          </w:tcPr>
          <w:p>
            <w:r/>
            <w:r>
              <w:rPr>
                <w:sz w:val="19"/>
              </w:rPr>
              <w:t>Java AWT/Swing</w:t>
            </w:r>
          </w:p>
        </w:tc>
        <w:tc>
          <w:tcPr>
            <w:tcW w:type="dxa" w:w="1584"/>
          </w:tcPr>
          <w:p>
            <w:r/>
            <w:r>
              <w:rPr>
                <w:sz w:val="19"/>
              </w:rPr>
              <w:t>JDK 17</w:t>
            </w:r>
          </w:p>
        </w:tc>
        <w:tc>
          <w:tcPr>
            <w:tcW w:type="dxa" w:w="3168"/>
          </w:tcPr>
          <w:p>
            <w:r/>
            <w:r>
              <w:rPr>
                <w:sz w:val="19"/>
              </w:rPr>
              <w:t>Icone system tray</w:t>
            </w:r>
          </w:p>
        </w:tc>
      </w:tr>
    </w:tbl>
    <w:p/>
    <w:p>
      <w:pPr>
        <w:pStyle w:val="Heading2"/>
      </w:pPr>
      <w:r>
        <w:rPr>
          <w:color w:val="1E3A5F"/>
          <w:sz w:val="28"/>
        </w:rPr>
        <w:t>6.2 Structure du projet et classes</w:t>
      </w:r>
    </w:p>
    <w:p>
      <w:pPr>
        <w:shd w:val="clear" w:color="auto" w:fill="F1F5F9"/>
        <w:spacing w:before="80" w:after="160"/>
        <w:ind w:left="120"/>
      </w:pPr>
      <w:r>
        <w:rPr>
          <w:rFonts w:ascii="Consolas" w:hAnsi="Consolas"/>
          <w:color w:val="0F172A"/>
          <w:sz w:val="19"/>
        </w:rPr>
        <w:t>clic2up-sign/</w:t>
      </w:r>
      <w:r>
        <w:br/>
      </w:r>
      <w:r>
        <w:rPr>
          <w:rFonts w:ascii="Consolas" w:hAnsi="Consolas"/>
          <w:color w:val="0F172A"/>
          <w:sz w:val="19"/>
        </w:rPr>
        <w:t xml:space="preserve">  src/main/java/com/clic2up/</w:t>
      </w:r>
      <w:r>
        <w:br/>
      </w:r>
      <w:r>
        <w:rPr>
          <w:rFonts w:ascii="Consolas" w:hAnsi="Consolas"/>
          <w:color w:val="0F172A"/>
          <w:sz w:val="19"/>
        </w:rPr>
        <w:t xml:space="preserve">    Main.java                Point d'entree (CLI + serveur)</w:t>
      </w:r>
      <w:r>
        <w:br/>
      </w:r>
      <w:r>
        <w:rPr>
          <w:rFonts w:ascii="Consolas" w:hAnsi="Consolas"/>
          <w:color w:val="0F172A"/>
          <w:sz w:val="19"/>
        </w:rPr>
        <w:t xml:space="preserve">    SigningServer.java       Serveur HTTP REST (Javalin)</w:t>
      </w:r>
      <w:r>
        <w:br/>
      </w:r>
      <w:r>
        <w:rPr>
          <w:rFonts w:ascii="Consolas" w:hAnsi="Consolas"/>
          <w:color w:val="0F172A"/>
          <w:sz w:val="19"/>
        </w:rPr>
        <w:t xml:space="preserve">    ElFatooraSignature.java  Signature XAdES-B (full + signHash)</w:t>
      </w:r>
      <w:r>
        <w:br/>
      </w:r>
      <w:r>
        <w:rPr>
          <w:rFonts w:ascii="Consolas" w:hAnsi="Consolas"/>
          <w:color w:val="0F172A"/>
          <w:sz w:val="19"/>
        </w:rPr>
        <w:t xml:space="preserve">    ElFatooraValidation.java Validation des signatures (DSS)</w:t>
      </w:r>
      <w:r>
        <w:br/>
      </w:r>
      <w:r>
        <w:rPr>
          <w:rFonts w:ascii="Consolas" w:hAnsi="Consolas"/>
          <w:color w:val="0F172A"/>
          <w:sz w:val="19"/>
        </w:rPr>
        <w:t xml:space="preserve">    Pkcs11TokenJDK17.java    Wrapper PKCS#11 pour JDK 17</w:t>
      </w:r>
      <w:r>
        <w:br/>
      </w:r>
      <w:r>
        <w:rPr>
          <w:rFonts w:ascii="Consolas" w:hAnsi="Consolas"/>
          <w:color w:val="0F172A"/>
          <w:sz w:val="19"/>
        </w:rPr>
        <w:t xml:space="preserve">    XmlUtils.java            Utilitaires XML (unpretty)</w:t>
      </w:r>
      <w:r>
        <w:br/>
      </w:r>
      <w:r>
        <w:rPr>
          <w:rFonts w:ascii="Consolas" w:hAnsi="Consolas"/>
          <w:color w:val="0F172A"/>
          <w:sz w:val="19"/>
        </w:rPr>
        <w:t xml:space="preserve">    SystemTrayManager.java   Icone barre des taches</w:t>
      </w:r>
      <w:r>
        <w:br/>
      </w:r>
      <w:r>
        <w:rPr>
          <w:rFonts w:ascii="Consolas" w:hAnsi="Consolas"/>
          <w:color w:val="0F172A"/>
          <w:sz w:val="19"/>
        </w:rPr>
        <w:t xml:space="preserve">  pom.xml                    Configuration Maven (finalName versionne)</w:t>
      </w:r>
      <w:r>
        <w:br/>
      </w:r>
      <w:r>
        <w:rPr>
          <w:rFonts w:ascii="Consolas" w:hAnsi="Consolas"/>
          <w:color w:val="0F172A"/>
          <w:sz w:val="19"/>
        </w:rPr>
        <w:t xml:space="preserve">  build-exe.bat              Packaging jpackage (variable VERSION)</w:t>
      </w:r>
      <w:r>
        <w:br/>
      </w:r>
      <w:r>
        <w:rPr>
          <w:rFonts w:ascii="Consolas" w:hAnsi="Consolas"/>
          <w:color w:val="0F172A"/>
          <w:sz w:val="19"/>
        </w:rPr>
        <w:t xml:space="preserve">  build-installer.bat        Chaine complete -&gt; installeur</w:t>
      </w:r>
      <w:r>
        <w:br/>
      </w:r>
      <w:r>
        <w:rPr>
          <w:rFonts w:ascii="Consolas" w:hAnsi="Consolas"/>
          <w:color w:val="0F172A"/>
          <w:sz w:val="19"/>
        </w:rPr>
        <w:t xml:space="preserve">  installer/clic2up-sign.iss Script Inno Setup (noms derives de la version)</w:t>
      </w:r>
      <w:r>
        <w:br/>
      </w:r>
      <w:r>
        <w:rPr>
          <w:rFonts w:ascii="Consolas" w:hAnsi="Consolas"/>
          <w:color w:val="0F172A"/>
          <w:sz w:val="19"/>
        </w:rPr>
        <w:t xml:space="preserve">  installer/clic2up-sign.ico Icone de l'application</w:t>
      </w:r>
    </w:p>
    <w:p>
      <w:pPr>
        <w:shd w:val="clear" w:color="auto" w:fill="EFF6FF"/>
        <w:spacing w:before="120" w:after="160"/>
        <w:ind w:left="120"/>
      </w:pPr>
      <w:r>
        <w:rPr>
          <w:b/>
        </w:rPr>
        <w:t xml:space="preserve">Note : </w:t>
      </w:r>
      <w:r>
        <w:t>Nettoyage v1.0 : suppression de code mort (methode listerCertificatsInfo) et des outils de diagnostic (SlotCertProbe, TokenInfoProbe) ; factorisation de l'affichage des certificats (afficherCertificats) et du parsing des requetes (parseBody / getDriver).</w:t>
      </w:r>
    </w:p>
    <w:p>
      <w:pPr>
        <w:pStyle w:val="Heading2"/>
      </w:pPr>
      <w:r>
        <w:rPr>
          <w:color w:val="1E3A5F"/>
          <w:sz w:val="28"/>
        </w:rPr>
        <w:t>6.3 Commandes CLI (Main)</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752"/>
            <w:shd w:val="clear" w:color="auto" w:fill="2563EB"/>
          </w:tcPr>
          <w:p>
            <w:r/>
            <w:r>
              <w:rPr>
                <w:b/>
                <w:color w:val="FFFFFF"/>
                <w:sz w:val="20"/>
              </w:rPr>
              <w:t>Commande</w:t>
            </w:r>
          </w:p>
        </w:tc>
        <w:tc>
          <w:tcPr>
            <w:tcW w:type="dxa" w:w="4608"/>
            <w:shd w:val="clear" w:color="auto" w:fill="2563EB"/>
          </w:tcPr>
          <w:p>
            <w:r/>
            <w:r>
              <w:rPr>
                <w:b/>
                <w:color w:val="FFFFFF"/>
                <w:sz w:val="20"/>
              </w:rPr>
              <w:t>Description</w:t>
            </w:r>
          </w:p>
        </w:tc>
      </w:tr>
      <w:tr>
        <w:tc>
          <w:tcPr>
            <w:tcW w:type="dxa" w:w="4752"/>
          </w:tcPr>
          <w:p>
            <w:r/>
            <w:r>
              <w:rPr>
                <w:sz w:val="19"/>
              </w:rPr>
              <w:t>server [--port 9876]</w:t>
            </w:r>
          </w:p>
        </w:tc>
        <w:tc>
          <w:tcPr>
            <w:tcW w:type="dxa" w:w="4608"/>
          </w:tcPr>
          <w:p>
            <w:r/>
            <w:r>
              <w:rPr>
                <w:sz w:val="19"/>
              </w:rPr>
              <w:t>Lance le serveur HTTP + icone tray</w:t>
            </w:r>
          </w:p>
        </w:tc>
      </w:tr>
      <w:tr>
        <w:tc>
          <w:tcPr>
            <w:tcW w:type="dxa" w:w="4752"/>
          </w:tcPr>
          <w:p>
            <w:r/>
            <w:r>
              <w:rPr>
                <w:sz w:val="19"/>
              </w:rPr>
              <w:t>signer-token &lt;xml&gt; &lt;driver&gt; &lt;pin&gt; &lt;sortie&gt;</w:t>
            </w:r>
          </w:p>
        </w:tc>
        <w:tc>
          <w:tcPr>
            <w:tcW w:type="dxa" w:w="4608"/>
          </w:tcPr>
          <w:p>
            <w:r/>
            <w:r>
              <w:rPr>
                <w:sz w:val="19"/>
              </w:rPr>
              <w:t>Signe un fichier avec la cle USB (full DSS)</w:t>
            </w:r>
          </w:p>
        </w:tc>
      </w:tr>
      <w:tr>
        <w:tc>
          <w:tcPr>
            <w:tcW w:type="dxa" w:w="4752"/>
          </w:tcPr>
          <w:p>
            <w:r/>
            <w:r>
              <w:rPr>
                <w:sz w:val="19"/>
              </w:rPr>
              <w:t>signer-p12 &lt;xml&gt; &lt;p12&gt; &lt;mdp&gt; &lt;sortie&gt;</w:t>
            </w:r>
          </w:p>
        </w:tc>
        <w:tc>
          <w:tcPr>
            <w:tcW w:type="dxa" w:w="4608"/>
          </w:tcPr>
          <w:p>
            <w:r/>
            <w:r>
              <w:rPr>
                <w:sz w:val="19"/>
              </w:rPr>
              <w:t>Signe un fichier avec un certificat PKCS#12</w:t>
            </w:r>
          </w:p>
        </w:tc>
      </w:tr>
      <w:tr>
        <w:tc>
          <w:tcPr>
            <w:tcW w:type="dxa" w:w="4752"/>
          </w:tcPr>
          <w:p>
            <w:r/>
            <w:r>
              <w:rPr>
                <w:sz w:val="19"/>
              </w:rPr>
              <w:t>valider &lt;xml_signe&gt;</w:t>
            </w:r>
          </w:p>
        </w:tc>
        <w:tc>
          <w:tcPr>
            <w:tcW w:type="dxa" w:w="4608"/>
          </w:tcPr>
          <w:p>
            <w:r/>
            <w:r>
              <w:rPr>
                <w:sz w:val="19"/>
              </w:rPr>
              <w:t>Valide la signature d'un fichier</w:t>
            </w:r>
          </w:p>
        </w:tc>
      </w:tr>
      <w:tr>
        <w:tc>
          <w:tcPr>
            <w:tcW w:type="dxa" w:w="4752"/>
          </w:tcPr>
          <w:p>
            <w:r/>
            <w:r>
              <w:rPr>
                <w:sz w:val="19"/>
              </w:rPr>
              <w:t>lister-token &lt;driver&gt; &lt;pin&gt;</w:t>
            </w:r>
          </w:p>
        </w:tc>
        <w:tc>
          <w:tcPr>
            <w:tcW w:type="dxa" w:w="4608"/>
          </w:tcPr>
          <w:p>
            <w:r/>
            <w:r>
              <w:rPr>
                <w:sz w:val="19"/>
              </w:rPr>
              <w:t>Liste les certificats de la cle USB</w:t>
            </w:r>
          </w:p>
        </w:tc>
      </w:tr>
      <w:tr>
        <w:tc>
          <w:tcPr>
            <w:tcW w:type="dxa" w:w="4752"/>
          </w:tcPr>
          <w:p>
            <w:r/>
            <w:r>
              <w:rPr>
                <w:sz w:val="19"/>
              </w:rPr>
              <w:t>lister-p12 &lt;p12&gt; &lt;mdp&gt;</w:t>
            </w:r>
          </w:p>
        </w:tc>
        <w:tc>
          <w:tcPr>
            <w:tcW w:type="dxa" w:w="4608"/>
          </w:tcPr>
          <w:p>
            <w:r/>
            <w:r>
              <w:rPr>
                <w:sz w:val="19"/>
              </w:rPr>
              <w:t>Liste les certificats d'un fichier PKCS#12</w:t>
            </w:r>
          </w:p>
        </w:tc>
      </w:tr>
    </w:tbl>
    <w:p/>
    <w:p>
      <w:r>
        <w:br w:type="page"/>
      </w:r>
    </w:p>
    <w:p>
      <w:pPr>
        <w:pStyle w:val="Heading1"/>
      </w:pPr>
      <w:r>
        <w:rPr>
          <w:color w:val="2563EB"/>
          <w:sz w:val="36"/>
        </w:rPr>
        <w:t>7. Compilation, packaging et creation de l'installeur</w:t>
      </w:r>
    </w:p>
    <w:p>
      <w:r>
        <w:rPr>
          <w:b w:val="0"/>
        </w:rPr>
        <w:t>La production des livrables se fait en trois etapes : (1) fat JAR Maven, (2) executable autonome jpackage avec JRE embarque, (3) installeur Inno Setup. Tous les noms de fichiers portent la version.</w:t>
      </w:r>
    </w:p>
    <w:p>
      <w:pPr>
        <w:pStyle w:val="Heading2"/>
      </w:pPr>
      <w:r>
        <w:rPr>
          <w:color w:val="1E3A5F"/>
          <w:sz w:val="28"/>
        </w:rPr>
        <w:t>7.1 Etape 1 — Fat JAR (Maven)</w:t>
      </w:r>
    </w:p>
    <w:p>
      <w:pPr>
        <w:shd w:val="clear" w:color="auto" w:fill="F1F5F9"/>
        <w:spacing w:before="80" w:after="160"/>
        <w:ind w:left="120"/>
      </w:pPr>
      <w:r>
        <w:rPr>
          <w:rFonts w:ascii="Consolas" w:hAnsi="Consolas"/>
          <w:color w:val="0F172A"/>
          <w:sz w:val="19"/>
        </w:rPr>
        <w:t>mvn -DskipTests package</w:t>
      </w:r>
    </w:p>
    <w:p>
      <w:pPr>
        <w:pStyle w:val="ListBullet"/>
      </w:pPr>
      <w:r>
        <w:rPr>
          <w:b/>
        </w:rPr>
        <w:t xml:space="preserve">maven-shade-plugin : </w:t>
      </w:r>
      <w:r>
        <w:t>fusionne toutes les dependances dans un seul JAR, merge les fichiers META-INF/services (ServicesResourceTransformer), filtre les signatures *.SF/*.DSA/*.RSA, fixe la Main-Class com.clic2up.Main.</w:t>
      </w:r>
    </w:p>
    <w:p>
      <w:pPr>
        <w:pStyle w:val="ListBullet"/>
      </w:pPr>
      <w:r>
        <w:rPr>
          <w:b/>
        </w:rPr>
        <w:t xml:space="preserve">finalName versionne : </w:t>
      </w:r>
      <w:r>
        <w:t>clic2up-sign-${project.version} -&gt; produit target/clic2up-sign-1.0.jar (~29 Mo).</w:t>
      </w:r>
    </w:p>
    <w:p>
      <w:pPr>
        <w:pStyle w:val="Heading2"/>
      </w:pPr>
      <w:r>
        <w:rPr>
          <w:color w:val="1E3A5F"/>
          <w:sz w:val="28"/>
        </w:rPr>
        <w:t>7.2 Etape 2 — Executable Windows (jpackage)</w:t>
      </w:r>
    </w:p>
    <w:p>
      <w:r>
        <w:rPr>
          <w:b w:val="0"/>
        </w:rPr>
        <w:t>L'outil jpackage (JDK 17) cree une app-image autonome (exe + JRE optimise) :</w:t>
      </w:r>
    </w:p>
    <w:p>
      <w:pPr>
        <w:shd w:val="clear" w:color="auto" w:fill="F1F5F9"/>
        <w:spacing w:before="80" w:after="160"/>
        <w:ind w:left="120"/>
      </w:pPr>
      <w:r>
        <w:rPr>
          <w:rFonts w:ascii="Consolas" w:hAnsi="Consolas"/>
          <w:color w:val="0F172A"/>
          <w:sz w:val="19"/>
        </w:rPr>
        <w:t>jpackage --type app-image --name clic2up-sign-1.0</w:t>
      </w:r>
      <w:r>
        <w:br/>
      </w:r>
      <w:r>
        <w:rPr>
          <w:rFonts w:ascii="Consolas" w:hAnsi="Consolas"/>
          <w:color w:val="0F172A"/>
          <w:sz w:val="19"/>
        </w:rPr>
        <w:t xml:space="preserve">         --input packaging\input --main-jar clic2up-sign-1.0.jar</w:t>
      </w:r>
      <w:r>
        <w:br/>
      </w:r>
      <w:r>
        <w:rPr>
          <w:rFonts w:ascii="Consolas" w:hAnsi="Consolas"/>
          <w:color w:val="0F172A"/>
          <w:sz w:val="19"/>
        </w:rPr>
        <w:t xml:space="preserve">         --main-class com.clic2up.Main</w:t>
      </w:r>
      <w:r>
        <w:br/>
      </w:r>
      <w:r>
        <w:rPr>
          <w:rFonts w:ascii="Consolas" w:hAnsi="Consolas"/>
          <w:color w:val="0F172A"/>
          <w:sz w:val="19"/>
        </w:rPr>
        <w:t xml:space="preserve">         --icon installer\clic2up-sign.ico --dest dist</w:t>
      </w:r>
      <w:r>
        <w:br/>
      </w:r>
      <w:r>
        <w:rPr>
          <w:rFonts w:ascii="Consolas" w:hAnsi="Consolas"/>
          <w:color w:val="0F172A"/>
          <w:sz w:val="19"/>
        </w:rPr>
        <w:t xml:space="preserve">         --java-options "-Xmx256m"</w:t>
      </w:r>
      <w:r>
        <w:br/>
      </w:r>
      <w:r>
        <w:rPr>
          <w:rFonts w:ascii="Consolas" w:hAnsi="Consolas"/>
          <w:color w:val="0F172A"/>
          <w:sz w:val="19"/>
        </w:rPr>
        <w:t xml:space="preserve">         --add-modules java.base,java.compiler,java.desktop,java.instrument,</w:t>
      </w:r>
      <w:r>
        <w:br/>
      </w:r>
      <w:r>
        <w:rPr>
          <w:rFonts w:ascii="Consolas" w:hAnsi="Consolas"/>
          <w:color w:val="0F172A"/>
          <w:sz w:val="19"/>
        </w:rPr>
        <w:t xml:space="preserve">                       java.management,java.naming,java.security.jgss,java.sql,</w:t>
      </w:r>
      <w:r>
        <w:br/>
      </w:r>
      <w:r>
        <w:rPr>
          <w:rFonts w:ascii="Consolas" w:hAnsi="Consolas"/>
          <w:color w:val="0F172A"/>
          <w:sz w:val="19"/>
        </w:rPr>
        <w:t xml:space="preserve">                       java.xml.crypto,jdk.crypto.cryptoki</w:t>
      </w:r>
      <w:r>
        <w:br/>
      </w:r>
      <w:r>
        <w:rPr>
          <w:rFonts w:ascii="Consolas" w:hAnsi="Consolas"/>
          <w:color w:val="0F172A"/>
          <w:sz w:val="19"/>
        </w:rPr>
        <w:t xml:space="preserve">         --jlink-options "--strip-debug --no-header-files --no-man-pages"</w:t>
      </w:r>
    </w:p>
    <w:p>
      <w:r>
        <w:rPr>
          <w:b w:val="0"/>
        </w:rPr>
        <w:t>Resultat : dist\clic2up-sign-1.0\clic2up-sign-1.0.exe (+ dossier runtime/ = JRE). Le script build-exe.bat automatise cette etape via une variable VERSION.</w:t>
      </w:r>
    </w:p>
    <w:p>
      <w:pPr>
        <w:pStyle w:val="Heading2"/>
      </w:pPr>
      <w:r>
        <w:rPr>
          <w:color w:val="1E3A5F"/>
          <w:sz w:val="28"/>
        </w:rPr>
        <w:t>7.3 Etape 3 — Installeur (Inno Setup)</w:t>
      </w:r>
    </w:p>
    <w:p>
      <w:r>
        <w:rPr>
          <w:b w:val="0"/>
        </w:rPr>
        <w:t>L'installeur est compile avec Inno Setup 6 (ISCC.exe) a partir du script clic2up-sign.iss, qui empaquette l'app-image et derive tous les noms de la version (#define MyAppVersion) :</w:t>
      </w:r>
    </w:p>
    <w:p>
      <w:pPr>
        <w:shd w:val="clear" w:color="auto" w:fill="F1F5F9"/>
        <w:spacing w:before="80" w:after="160"/>
        <w:ind w:left="120"/>
      </w:pPr>
      <w:r>
        <w:rPr>
          <w:rFonts w:ascii="Consolas" w:hAnsi="Consolas"/>
          <w:color w:val="0F172A"/>
          <w:sz w:val="19"/>
        </w:rPr>
        <w:t>ISCC.exe installer\clic2up-sign.iss</w:t>
      </w:r>
    </w:p>
    <w:p>
      <w:pPr>
        <w:pStyle w:val="ListNumber"/>
      </w:pPr>
      <w:r>
        <w:t>Generation de l'icone .ico (generate-icon.java).</w:t>
      </w:r>
    </w:p>
    <w:p>
      <w:pPr>
        <w:pStyle w:val="ListNumber"/>
      </w:pPr>
      <w:r>
        <w:t>Packaging jpackage de l'app-image versionnee (build-exe.bat).</w:t>
      </w:r>
    </w:p>
    <w:p>
      <w:pPr>
        <w:pStyle w:val="ListNumber"/>
      </w:pPr>
      <w:r>
        <w:t>Compilation Inno Setup : copie de l'app-image, raccourcis (Menu/Bureau/Demarrage), options (raccourci bureau, demarrage auto), arret propre du processus a la desinstallation.</w:t>
      </w:r>
    </w:p>
    <w:p>
      <w:r>
        <w:rPr>
          <w:b w:val="0"/>
        </w:rPr>
        <w:t>Resultat : dist\clic2up-sign-1.0-setup.exe. Le script build-installer.bat enchaine ces etapes.</w:t>
      </w:r>
    </w:p>
    <w:p>
      <w:pPr>
        <w:pStyle w:val="Heading2"/>
      </w:pPr>
      <w:r>
        <w:rPr>
          <w:color w:val="1E3A5F"/>
          <w:sz w:val="28"/>
        </w:rPr>
        <w:t>7.4 Artefacts versionnes produits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304"/>
            <w:shd w:val="clear" w:color="auto" w:fill="2563EB"/>
          </w:tcPr>
          <w:p>
            <w:r/>
            <w:r>
              <w:rPr>
                <w:b/>
                <w:color w:val="FFFFFF"/>
                <w:sz w:val="20"/>
              </w:rPr>
              <w:t>Type</w:t>
            </w:r>
          </w:p>
        </w:tc>
        <w:tc>
          <w:tcPr>
            <w:tcW w:type="dxa" w:w="7056"/>
            <w:shd w:val="clear" w:color="auto" w:fill="2563EB"/>
          </w:tcPr>
          <w:p>
            <w:r/>
            <w:r>
              <w:rPr>
                <w:b/>
                <w:color w:val="FFFFFF"/>
                <w:sz w:val="20"/>
              </w:rPr>
              <w:t>Fichier</w:t>
            </w:r>
          </w:p>
        </w:tc>
      </w:tr>
      <w:tr>
        <w:tc>
          <w:tcPr>
            <w:tcW w:type="dxa" w:w="2304"/>
          </w:tcPr>
          <w:p>
            <w:r/>
            <w:r>
              <w:rPr>
                <w:sz w:val="19"/>
              </w:rPr>
              <w:t>Fat JAR</w:t>
            </w:r>
          </w:p>
        </w:tc>
        <w:tc>
          <w:tcPr>
            <w:tcW w:type="dxa" w:w="7056"/>
          </w:tcPr>
          <w:p>
            <w:r/>
            <w:r>
              <w:rPr>
                <w:sz w:val="19"/>
              </w:rPr>
              <w:t>target/clic2up-sign-1.0.jar</w:t>
            </w:r>
          </w:p>
        </w:tc>
      </w:tr>
      <w:tr>
        <w:tc>
          <w:tcPr>
            <w:tcW w:type="dxa" w:w="2304"/>
          </w:tcPr>
          <w:p>
            <w:r/>
            <w:r>
              <w:rPr>
                <w:sz w:val="19"/>
              </w:rPr>
              <w:t>Executable</w:t>
            </w:r>
          </w:p>
        </w:tc>
        <w:tc>
          <w:tcPr>
            <w:tcW w:type="dxa" w:w="7056"/>
          </w:tcPr>
          <w:p>
            <w:r/>
            <w:r>
              <w:rPr>
                <w:sz w:val="19"/>
              </w:rPr>
              <w:t>dist/clic2up-sign-1.0/clic2up-sign-1.0.exe</w:t>
            </w:r>
          </w:p>
        </w:tc>
      </w:tr>
      <w:tr>
        <w:tc>
          <w:tcPr>
            <w:tcW w:type="dxa" w:w="2304"/>
          </w:tcPr>
          <w:p>
            <w:r/>
            <w:r>
              <w:rPr>
                <w:sz w:val="19"/>
              </w:rPr>
              <w:t>Installeur</w:t>
            </w:r>
          </w:p>
        </w:tc>
        <w:tc>
          <w:tcPr>
            <w:tcW w:type="dxa" w:w="7056"/>
          </w:tcPr>
          <w:p>
            <w:r/>
            <w:r>
              <w:rPr>
                <w:sz w:val="19"/>
              </w:rPr>
              <w:t>dist/clic2up-sign-1.0-setup.exe</w:t>
            </w:r>
          </w:p>
        </w:tc>
      </w:tr>
    </w:tbl>
    <w:p/>
    <w:p>
      <w:pPr>
        <w:pStyle w:val="Heading2"/>
      </w:pPr>
      <w:r>
        <w:rPr>
          <w:color w:val="1E3A5F"/>
          <w:sz w:val="28"/>
        </w:rPr>
        <w:t>7.5 Optimisations et tailles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752"/>
            <w:shd w:val="clear" w:color="auto" w:fill="2563EB"/>
          </w:tcPr>
          <w:p>
            <w:r/>
            <w:r>
              <w:rPr>
                <w:b/>
                <w:color w:val="FFFFFF"/>
                <w:sz w:val="20"/>
              </w:rPr>
              <w:t>Optimisation</w:t>
            </w:r>
          </w:p>
        </w:tc>
        <w:tc>
          <w:tcPr>
            <w:tcW w:type="dxa" w:w="4608"/>
            <w:shd w:val="clear" w:color="auto" w:fill="2563EB"/>
          </w:tcPr>
          <w:p>
            <w:r/>
            <w:r>
              <w:rPr>
                <w:b/>
                <w:color w:val="FFFFFF"/>
                <w:sz w:val="20"/>
              </w:rPr>
              <w:t>Effet</w:t>
            </w:r>
          </w:p>
        </w:tc>
      </w:tr>
      <w:tr>
        <w:tc>
          <w:tcPr>
            <w:tcW w:type="dxa" w:w="4752"/>
          </w:tcPr>
          <w:p>
            <w:r/>
            <w:r>
              <w:rPr>
                <w:sz w:val="19"/>
              </w:rPr>
              <w:t>--add-modules (10 modules sur ~70)</w:t>
            </w:r>
          </w:p>
        </w:tc>
        <w:tc>
          <w:tcPr>
            <w:tcW w:type="dxa" w:w="4608"/>
          </w:tcPr>
          <w:p>
            <w:r/>
            <w:r>
              <w:rPr>
                <w:sz w:val="19"/>
              </w:rPr>
              <w:t>JRE : ~129 Mo -&gt; ~71 Mo</w:t>
            </w:r>
          </w:p>
        </w:tc>
      </w:tr>
      <w:tr>
        <w:tc>
          <w:tcPr>
            <w:tcW w:type="dxa" w:w="4752"/>
          </w:tcPr>
          <w:p>
            <w:r/>
            <w:r>
              <w:rPr>
                <w:sz w:val="19"/>
              </w:rPr>
              <w:t>--strip-debug / --no-header-files / --no-man-pages</w:t>
            </w:r>
          </w:p>
        </w:tc>
        <w:tc>
          <w:tcPr>
            <w:tcW w:type="dxa" w:w="4608"/>
          </w:tcPr>
          <w:p>
            <w:r/>
            <w:r>
              <w:rPr>
                <w:sz w:val="19"/>
              </w:rPr>
              <w:t>Retrait des symboles de debug et fichiers inutiles</w:t>
            </w:r>
          </w:p>
        </w:tc>
      </w:tr>
      <w:tr>
        <w:tc>
          <w:tcPr>
            <w:tcW w:type="dxa" w:w="4752"/>
          </w:tcPr>
          <w:p>
            <w:r/>
            <w:r>
              <w:rPr>
                <w:sz w:val="19"/>
              </w:rPr>
              <w:t>Compression LZMA2 (Inno Setup)</w:t>
            </w:r>
          </w:p>
        </w:tc>
        <w:tc>
          <w:tcPr>
            <w:tcW w:type="dxa" w:w="4608"/>
          </w:tcPr>
          <w:p>
            <w:r/>
            <w:r>
              <w:rPr>
                <w:sz w:val="19"/>
              </w:rPr>
              <w:t>Installeur final ~45 Mo</w:t>
            </w:r>
          </w:p>
        </w:tc>
      </w:tr>
    </w:tbl>
    <w:p/>
    <w:p>
      <w:pPr>
        <w:shd w:val="clear" w:color="auto" w:fill="EFF6FF"/>
        <w:spacing w:before="120" w:after="160"/>
        <w:ind w:left="120"/>
      </w:pPr>
      <w:r>
        <w:rPr>
          <w:b/>
        </w:rPr>
        <w:t xml:space="preserve">Note : </w:t>
      </w:r>
      <w:r>
        <w:t>La compression jlink est volontairement desactivee : Inno Setup compresse moins bien un contenu deja compresse. La compression est laissee a Inno Setup.</w:t>
      </w:r>
    </w:p>
    <w:p>
      <w:r>
        <w:br w:type="page"/>
      </w:r>
    </w:p>
    <w:p>
      <w:pPr>
        <w:pStyle w:val="Heading1"/>
      </w:pPr>
      <w:r>
        <w:rPr>
          <w:color w:val="2563EB"/>
          <w:sz w:val="36"/>
        </w:rPr>
        <w:t>8. Installation et utilisation</w:t>
      </w:r>
    </w:p>
    <w:p>
      <w:pPr>
        <w:pStyle w:val="Heading2"/>
      </w:pPr>
      <w:r>
        <w:rPr>
          <w:color w:val="1E3A5F"/>
          <w:sz w:val="28"/>
        </w:rPr>
        <w:t>8.1 Pre-requis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312"/>
            <w:shd w:val="clear" w:color="auto" w:fill="2563EB"/>
          </w:tcPr>
          <w:p>
            <w:r/>
            <w:r>
              <w:rPr>
                <w:b/>
                <w:color w:val="FFFFFF"/>
                <w:sz w:val="20"/>
              </w:rPr>
              <w:t>Pre-requis</w:t>
            </w:r>
          </w:p>
        </w:tc>
        <w:tc>
          <w:tcPr>
            <w:tcW w:type="dxa" w:w="6048"/>
            <w:shd w:val="clear" w:color="auto" w:fill="2563EB"/>
          </w:tcPr>
          <w:p>
            <w:r/>
            <w:r>
              <w:rPr>
                <w:b/>
                <w:color w:val="FFFFFF"/>
                <w:sz w:val="20"/>
              </w:rPr>
              <w:t>Details</w:t>
            </w:r>
          </w:p>
        </w:tc>
      </w:tr>
      <w:tr>
        <w:tc>
          <w:tcPr>
            <w:tcW w:type="dxa" w:w="3312"/>
          </w:tcPr>
          <w:p>
            <w:r/>
            <w:r>
              <w:rPr>
                <w:sz w:val="19"/>
              </w:rPr>
              <w:t>Systeme</w:t>
            </w:r>
          </w:p>
        </w:tc>
        <w:tc>
          <w:tcPr>
            <w:tcW w:type="dxa" w:w="6048"/>
          </w:tcPr>
          <w:p>
            <w:r/>
            <w:r>
              <w:rPr>
                <w:sz w:val="19"/>
              </w:rPr>
              <w:t>Windows 10 / 11 (64 bits)</w:t>
            </w:r>
          </w:p>
        </w:tc>
      </w:tr>
      <w:tr>
        <w:tc>
          <w:tcPr>
            <w:tcW w:type="dxa" w:w="3312"/>
          </w:tcPr>
          <w:p>
            <w:r/>
            <w:r>
              <w:rPr>
                <w:sz w:val="19"/>
              </w:rPr>
              <w:t>SafeNet Authentication Client</w:t>
            </w:r>
          </w:p>
        </w:tc>
        <w:tc>
          <w:tcPr>
            <w:tcW w:type="dxa" w:w="6048"/>
          </w:tcPr>
          <w:p>
            <w:r/>
            <w:r>
              <w:rPr>
                <w:sz w:val="19"/>
              </w:rPr>
              <w:t>Installe (fournit le driver IDPrimePKCS1164.dll)</w:t>
            </w:r>
          </w:p>
        </w:tc>
      </w:tr>
      <w:tr>
        <w:tc>
          <w:tcPr>
            <w:tcW w:type="dxa" w:w="3312"/>
          </w:tcPr>
          <w:p>
            <w:r/>
            <w:r>
              <w:rPr>
                <w:sz w:val="19"/>
              </w:rPr>
              <w:t>Cle USB TunTrust</w:t>
            </w:r>
          </w:p>
        </w:tc>
        <w:tc>
          <w:tcPr>
            <w:tcW w:type="dxa" w:w="6048"/>
          </w:tcPr>
          <w:p>
            <w:r/>
            <w:r>
              <w:rPr>
                <w:sz w:val="19"/>
              </w:rPr>
              <w:t>Token contenant le certificat de signature (QSign)</w:t>
            </w:r>
          </w:p>
        </w:tc>
      </w:tr>
      <w:tr>
        <w:tc>
          <w:tcPr>
            <w:tcW w:type="dxa" w:w="3312"/>
          </w:tcPr>
          <w:p>
            <w:r/>
            <w:r>
              <w:rPr>
                <w:sz w:val="19"/>
              </w:rPr>
              <w:t>Espace disque</w:t>
            </w:r>
          </w:p>
        </w:tc>
        <w:tc>
          <w:tcPr>
            <w:tcW w:type="dxa" w:w="6048"/>
          </w:tcPr>
          <w:p>
            <w:r/>
            <w:r>
              <w:rPr>
                <w:sz w:val="19"/>
              </w:rPr>
              <w:t>~150 Mo</w:t>
            </w:r>
          </w:p>
        </w:tc>
      </w:tr>
    </w:tbl>
    <w:p/>
    <w:p>
      <w:pPr>
        <w:shd w:val="clear" w:color="auto" w:fill="FEF3C7"/>
        <w:spacing w:before="120" w:after="160"/>
        <w:ind w:left="120"/>
      </w:pPr>
      <w:r>
        <w:rPr>
          <w:b/>
        </w:rPr>
        <w:t xml:space="preserve">Attention : </w:t>
      </w:r>
      <w:r>
        <w:t>Pas besoin d'installer Java : le JRE est embarque dans l'executable.</w:t>
      </w:r>
    </w:p>
    <w:p>
      <w:pPr>
        <w:pStyle w:val="Heading2"/>
      </w:pPr>
      <w:r>
        <w:rPr>
          <w:color w:val="1E3A5F"/>
          <w:sz w:val="28"/>
        </w:rPr>
        <w:t>8.2 Procedure d'installation</w:t>
      </w:r>
    </w:p>
    <w:p>
      <w:pPr>
        <w:pStyle w:val="ListNumber"/>
      </w:pPr>
      <w:r>
        <w:t>Executer clic2up-sign-1.0-setup.exe.</w:t>
      </w:r>
    </w:p>
    <w:p>
      <w:pPr>
        <w:pStyle w:val="ListNumber"/>
      </w:pPr>
      <w:r>
        <w:t>Si SmartScreen apparait (exe non signe) : « Informations complementaires » puis « Executer quand meme ».</w:t>
      </w:r>
    </w:p>
    <w:p>
      <w:pPr>
        <w:pStyle w:val="ListNumber"/>
      </w:pPr>
      <w:r>
        <w:t>Suivre le wizard : ecran d'accueil, informations, dossier d'installation.</w:t>
      </w:r>
    </w:p>
    <w:p>
      <w:pPr>
        <w:pStyle w:val="ListNumber"/>
      </w:pPr>
      <w:r>
        <w:t>Options : raccourci bureau et/ou demarrage automatique de Windows.</w:t>
      </w:r>
    </w:p>
    <w:p>
      <w:pPr>
        <w:pStyle w:val="ListNumber"/>
      </w:pPr>
      <w:r>
        <w:t>Installation des fichiers, puis demarrage automatique du service.</w:t>
      </w:r>
    </w:p>
    <w:p>
      <w:r>
        <w:rPr>
          <w:b w:val="0"/>
        </w:rPr>
        <w:t>Apres l'installation : une icone (cadenas) apparait dans la barre des taches, et le service repond sur http://localhost:9876/status (version 1.0).</w:t>
      </w:r>
    </w:p>
    <w:p>
      <w:pPr>
        <w:pStyle w:val="Heading2"/>
      </w:pPr>
      <w:r>
        <w:rPr>
          <w:color w:val="1E3A5F"/>
          <w:sz w:val="28"/>
        </w:rPr>
        <w:t>8.3 Icone System Tray</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744"/>
            <w:shd w:val="clear" w:color="auto" w:fill="2563EB"/>
          </w:tcPr>
          <w:p>
            <w:r/>
            <w:r>
              <w:rPr>
                <w:b/>
                <w:color w:val="FFFFFF"/>
                <w:sz w:val="20"/>
              </w:rPr>
              <w:t>Option (clic droit)</w:t>
            </w:r>
          </w:p>
        </w:tc>
        <w:tc>
          <w:tcPr>
            <w:tcW w:type="dxa" w:w="5616"/>
            <w:shd w:val="clear" w:color="auto" w:fill="2563EB"/>
          </w:tcPr>
          <w:p>
            <w:r/>
            <w:r>
              <w:rPr>
                <w:b/>
                <w:color w:val="FFFFFF"/>
                <w:sz w:val="20"/>
              </w:rPr>
              <w:t>Action</w:t>
            </w:r>
          </w:p>
        </w:tc>
      </w:tr>
      <w:tr>
        <w:tc>
          <w:tcPr>
            <w:tcW w:type="dxa" w:w="3744"/>
          </w:tcPr>
          <w:p>
            <w:r/>
            <w:r>
              <w:rPr>
                <w:sz w:val="19"/>
              </w:rPr>
              <w:t>clic2up-sign v1.0</w:t>
            </w:r>
          </w:p>
        </w:tc>
        <w:tc>
          <w:tcPr>
            <w:tcW w:type="dxa" w:w="5616"/>
          </w:tcPr>
          <w:p>
            <w:r/>
            <w:r>
              <w:rPr>
                <w:sz w:val="19"/>
              </w:rPr>
              <w:t>Titre (informatif)</w:t>
            </w:r>
          </w:p>
        </w:tc>
      </w:tr>
      <w:tr>
        <w:tc>
          <w:tcPr>
            <w:tcW w:type="dxa" w:w="3744"/>
          </w:tcPr>
          <w:p>
            <w:r/>
            <w:r>
              <w:rPr>
                <w:sz w:val="19"/>
              </w:rPr>
              <w:t>Actif sur le port 9876</w:t>
            </w:r>
          </w:p>
        </w:tc>
        <w:tc>
          <w:tcPr>
            <w:tcW w:type="dxa" w:w="5616"/>
          </w:tcPr>
          <w:p>
            <w:r/>
            <w:r>
              <w:rPr>
                <w:sz w:val="19"/>
              </w:rPr>
              <w:t>Statut (informatif)</w:t>
            </w:r>
          </w:p>
        </w:tc>
      </w:tr>
      <w:tr>
        <w:tc>
          <w:tcPr>
            <w:tcW w:type="dxa" w:w="3744"/>
          </w:tcPr>
          <w:p>
            <w:r/>
            <w:r>
              <w:rPr>
                <w:sz w:val="19"/>
              </w:rPr>
              <w:t>Ouvrir le statut</w:t>
            </w:r>
          </w:p>
        </w:tc>
        <w:tc>
          <w:tcPr>
            <w:tcW w:type="dxa" w:w="5616"/>
          </w:tcPr>
          <w:p>
            <w:r/>
            <w:r>
              <w:rPr>
                <w:sz w:val="19"/>
              </w:rPr>
              <w:t>Ouvre localhost:9876/status dans le navigateur</w:t>
            </w:r>
          </w:p>
        </w:tc>
      </w:tr>
      <w:tr>
        <w:tc>
          <w:tcPr>
            <w:tcW w:type="dxa" w:w="3744"/>
          </w:tcPr>
          <w:p>
            <w:r/>
            <w:r>
              <w:rPr>
                <w:sz w:val="19"/>
              </w:rPr>
              <w:t>Quitter</w:t>
            </w:r>
          </w:p>
        </w:tc>
        <w:tc>
          <w:tcPr>
            <w:tcW w:type="dxa" w:w="5616"/>
          </w:tcPr>
          <w:p>
            <w:r/>
            <w:r>
              <w:rPr>
                <w:sz w:val="19"/>
              </w:rPr>
              <w:t>Arrete le service et ferme l'application</w:t>
            </w:r>
          </w:p>
        </w:tc>
      </w:tr>
    </w:tbl>
    <w:p/>
    <w:p>
      <w:pPr>
        <w:pStyle w:val="Heading2"/>
      </w:pPr>
      <w:r>
        <w:rPr>
          <w:color w:val="1E3A5F"/>
          <w:sz w:val="28"/>
        </w:rPr>
        <w:t>8.4 Desinstallation</w:t>
      </w:r>
    </w:p>
    <w:p>
      <w:r>
        <w:rPr>
          <w:b w:val="0"/>
        </w:rPr>
        <w:t>Via Parametres Windows &gt; Applications &gt; clic2up-sign &gt; Desinstaller. La desinstallation arrete le processus, supprime les fichiers et retire les raccourcis.</w:t>
      </w:r>
    </w:p>
    <w:p>
      <w:r>
        <w:br w:type="page"/>
      </w:r>
    </w:p>
    <w:p>
      <w:pPr>
        <w:pStyle w:val="Heading1"/>
      </w:pPr>
      <w:r>
        <w:rPr>
          <w:color w:val="2563EB"/>
          <w:sz w:val="36"/>
        </w:rPr>
        <w:t>9. Securite</w:t>
      </w:r>
    </w:p>
    <w:p>
      <w:pPr>
        <w:pStyle w:val="Heading3"/>
      </w:pPr>
      <w:r>
        <w:rPr>
          <w:color w:val="2563EB"/>
          <w:sz w:val="24"/>
        </w:rPr>
        <w:t>Communication</w:t>
      </w:r>
    </w:p>
    <w:p>
      <w:pPr>
        <w:pStyle w:val="ListBullet"/>
      </w:pPr>
      <w:r>
        <w:t>Le service ecoute uniquement sur localhost (127.0.0.1) — inaccessible depuis le reseau.</w:t>
      </w:r>
    </w:p>
    <w:p>
      <w:pPr>
        <w:pStyle w:val="ListBullet"/>
      </w:pPr>
      <w:r>
        <w:t>CORS strict : seules les origines autorisees peuvent appeler l'API.</w:t>
      </w:r>
    </w:p>
    <w:p>
      <w:pPr>
        <w:pStyle w:val="ListBullet"/>
      </w:pPr>
      <w:r>
        <w:t>Le code PIN n'est jamais stocke ; il transite en memoire le temps de la signature.</w:t>
      </w:r>
    </w:p>
    <w:p>
      <w:pPr>
        <w:pStyle w:val="Heading3"/>
      </w:pPr>
      <w:r>
        <w:rPr>
          <w:color w:val="2563EB"/>
          <w:sz w:val="24"/>
        </w:rPr>
        <w:t>Cle USB</w:t>
      </w:r>
    </w:p>
    <w:p>
      <w:pPr>
        <w:pStyle w:val="ListBullet"/>
      </w:pPr>
      <w:r>
        <w:t>La cle privee ne quitte jamais le token ; la signature (RSA) est realisee sur le token.</w:t>
      </w:r>
    </w:p>
    <w:p>
      <w:pPr>
        <w:pStyle w:val="ListBullet"/>
      </w:pPr>
      <w:r>
        <w:t>Le PIN est verifie par le token a chaque operation ; blocage materiel apres trop d'erreurs.</w:t>
      </w:r>
    </w:p>
    <w:p>
      <w:pPr>
        <w:pStyle w:val="Heading3"/>
      </w:pPr>
      <w:r>
        <w:rPr>
          <w:color w:val="2563EB"/>
          <w:sz w:val="24"/>
        </w:rPr>
        <w:t>Application</w:t>
      </w:r>
    </w:p>
    <w:p>
      <w:pPr>
        <w:pStyle w:val="ListBullet"/>
      </w:pPr>
      <w:r>
        <w:t>Aucune donnee n'est stockee localement par clic2up-sign.</w:t>
      </w:r>
    </w:p>
    <w:p>
      <w:pPr>
        <w:pStyle w:val="ListBullet"/>
      </w:pPr>
      <w:r>
        <w:t>Le fichier log (~/clic2up-sign.log) ne contient ni PIN ni donnees sensibles.</w:t>
      </w:r>
    </w:p>
    <w:p>
      <w:pPr>
        <w:pStyle w:val="ListBullet"/>
      </w:pPr>
      <w:r>
        <w:t>Aucun droit administrateur requis ; aucune modification du registre Windows.</w:t>
      </w:r>
    </w:p>
    <w:p>
      <w:pPr>
        <w:pStyle w:val="Heading1"/>
      </w:pPr>
      <w:r>
        <w:rPr>
          <w:color w:val="2563EB"/>
          <w:sz w:val="36"/>
        </w:rPr>
        <w:t>10. Depannage</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736"/>
            <w:shd w:val="clear" w:color="auto" w:fill="2563EB"/>
          </w:tcPr>
          <w:p>
            <w:r/>
            <w:r>
              <w:rPr>
                <w:b/>
                <w:color w:val="FFFFFF"/>
                <w:sz w:val="20"/>
              </w:rPr>
              <w:t>Probleme</w:t>
            </w:r>
          </w:p>
        </w:tc>
        <w:tc>
          <w:tcPr>
            <w:tcW w:type="dxa" w:w="2880"/>
            <w:shd w:val="clear" w:color="auto" w:fill="2563EB"/>
          </w:tcPr>
          <w:p>
            <w:r/>
            <w:r>
              <w:rPr>
                <w:b/>
                <w:color w:val="FFFFFF"/>
                <w:sz w:val="20"/>
              </w:rPr>
              <w:t>Cause probable</w:t>
            </w:r>
          </w:p>
        </w:tc>
        <w:tc>
          <w:tcPr>
            <w:tcW w:type="dxa" w:w="3744"/>
            <w:shd w:val="clear" w:color="auto" w:fill="2563EB"/>
          </w:tcPr>
          <w:p>
            <w:r/>
            <w:r>
              <w:rPr>
                <w:b/>
                <w:color w:val="FFFFFF"/>
                <w:sz w:val="20"/>
              </w:rPr>
              <w:t>Solution</w:t>
            </w:r>
          </w:p>
        </w:tc>
      </w:tr>
      <w:tr>
        <w:tc>
          <w:tcPr>
            <w:tcW w:type="dxa" w:w="2736"/>
          </w:tcPr>
          <w:p>
            <w:r/>
            <w:r>
              <w:rPr>
                <w:sz w:val="19"/>
              </w:rPr>
              <w:t>Le service ne repond pas</w:t>
            </w:r>
          </w:p>
        </w:tc>
        <w:tc>
          <w:tcPr>
            <w:tcW w:type="dxa" w:w="2880"/>
          </w:tcPr>
          <w:p>
            <w:r/>
            <w:r>
              <w:rPr>
                <w:sz w:val="19"/>
              </w:rPr>
              <w:t>Service non lance</w:t>
            </w:r>
          </w:p>
        </w:tc>
        <w:tc>
          <w:tcPr>
            <w:tcW w:type="dxa" w:w="3744"/>
          </w:tcPr>
          <w:p>
            <w:r/>
            <w:r>
              <w:rPr>
                <w:sz w:val="19"/>
              </w:rPr>
              <w:t>Lancer clic2up-sign-1.0.exe ou verifier le demarrage auto</w:t>
            </w:r>
          </w:p>
        </w:tc>
      </w:tr>
      <w:tr>
        <w:tc>
          <w:tcPr>
            <w:tcW w:type="dxa" w:w="2736"/>
          </w:tcPr>
          <w:p>
            <w:r/>
            <w:r>
              <w:rPr>
                <w:sz w:val="19"/>
              </w:rPr>
              <w:t>CKR_PIN_INCORRECT</w:t>
            </w:r>
          </w:p>
        </w:tc>
        <w:tc>
          <w:tcPr>
            <w:tcW w:type="dxa" w:w="2880"/>
          </w:tcPr>
          <w:p>
            <w:r/>
            <w:r>
              <w:rPr>
                <w:sz w:val="19"/>
              </w:rPr>
              <w:t>Mauvais PIN</w:t>
            </w:r>
          </w:p>
        </w:tc>
        <w:tc>
          <w:tcPr>
            <w:tcW w:type="dxa" w:w="3744"/>
          </w:tcPr>
          <w:p>
            <w:r/>
            <w:r>
              <w:rPr>
                <w:sz w:val="19"/>
              </w:rPr>
              <w:t>Verifier le PIN (risque de blocage du token apres plusieurs erreurs)</w:t>
            </w:r>
          </w:p>
        </w:tc>
      </w:tr>
      <w:tr>
        <w:tc>
          <w:tcPr>
            <w:tcW w:type="dxa" w:w="2736"/>
          </w:tcPr>
          <w:p>
            <w:r/>
            <w:r>
              <w:rPr>
                <w:sz w:val="19"/>
              </w:rPr>
              <w:t>Aucune cle trouvee</w:t>
            </w:r>
          </w:p>
        </w:tc>
        <w:tc>
          <w:tcPr>
            <w:tcW w:type="dxa" w:w="2880"/>
          </w:tcPr>
          <w:p>
            <w:r/>
            <w:r>
              <w:rPr>
                <w:sz w:val="19"/>
              </w:rPr>
              <w:t>Cle non branchee / mauvais driver</w:t>
            </w:r>
          </w:p>
        </w:tc>
        <w:tc>
          <w:tcPr>
            <w:tcW w:type="dxa" w:w="3744"/>
          </w:tcPr>
          <w:p>
            <w:r/>
            <w:r>
              <w:rPr>
                <w:sz w:val="19"/>
              </w:rPr>
              <w:t>Brancher la cle ; verifier le driver IDPrimePKCS1164.dll</w:t>
            </w:r>
          </w:p>
        </w:tc>
      </w:tr>
      <w:tr>
        <w:tc>
          <w:tcPr>
            <w:tcW w:type="dxa" w:w="2736"/>
          </w:tcPr>
          <w:p>
            <w:r/>
            <w:r>
              <w:rPr>
                <w:sz w:val="19"/>
              </w:rPr>
              <w:t>SunPKCS11 not available</w:t>
            </w:r>
          </w:p>
        </w:tc>
        <w:tc>
          <w:tcPr>
            <w:tcW w:type="dxa" w:w="2880"/>
          </w:tcPr>
          <w:p>
            <w:r/>
            <w:r>
              <w:rPr>
                <w:sz w:val="19"/>
              </w:rPr>
              <w:t>Probleme JRE</w:t>
            </w:r>
          </w:p>
        </w:tc>
        <w:tc>
          <w:tcPr>
            <w:tcW w:type="dxa" w:w="3744"/>
          </w:tcPr>
          <w:p>
            <w:r/>
            <w:r>
              <w:rPr>
                <w:sz w:val="19"/>
              </w:rPr>
              <w:t>Reinstaller clic2up-sign</w:t>
            </w:r>
          </w:p>
        </w:tc>
      </w:tr>
      <w:tr>
        <w:tc>
          <w:tcPr>
            <w:tcW w:type="dxa" w:w="2736"/>
          </w:tcPr>
          <w:p>
            <w:r/>
            <w:r>
              <w:rPr>
                <w:sz w:val="19"/>
              </w:rPr>
              <w:t>Error configuring SunPKCS11</w:t>
            </w:r>
          </w:p>
        </w:tc>
        <w:tc>
          <w:tcPr>
            <w:tcW w:type="dxa" w:w="2880"/>
          </w:tcPr>
          <w:p>
            <w:r/>
            <w:r>
              <w:rPr>
                <w:sz w:val="19"/>
              </w:rPr>
              <w:t>Driver introuvable</w:t>
            </w:r>
          </w:p>
        </w:tc>
        <w:tc>
          <w:tcPr>
            <w:tcW w:type="dxa" w:w="3744"/>
          </w:tcPr>
          <w:p>
            <w:r/>
            <w:r>
              <w:rPr>
                <w:sz w:val="19"/>
              </w:rPr>
              <w:t>Verifier l'installation de SafeNet Authentication Client</w:t>
            </w:r>
          </w:p>
        </w:tc>
      </w:tr>
      <w:tr>
        <w:tc>
          <w:tcPr>
            <w:tcW w:type="dxa" w:w="2736"/>
          </w:tcPr>
          <w:p>
            <w:r/>
            <w:r>
              <w:rPr>
                <w:sz w:val="19"/>
              </w:rPr>
              <w:t>Port 9876 occupe</w:t>
            </w:r>
          </w:p>
        </w:tc>
        <w:tc>
          <w:tcPr>
            <w:tcW w:type="dxa" w:w="2880"/>
          </w:tcPr>
          <w:p>
            <w:r/>
            <w:r>
              <w:rPr>
                <w:sz w:val="19"/>
              </w:rPr>
              <w:t>Instance deja lancee</w:t>
            </w:r>
          </w:p>
        </w:tc>
        <w:tc>
          <w:tcPr>
            <w:tcW w:type="dxa" w:w="3744"/>
          </w:tcPr>
          <w:p>
            <w:r/>
            <w:r>
              <w:rPr>
                <w:sz w:val="19"/>
              </w:rPr>
              <w:t>Fermer l'autre instance (Gestionnaire des taches)</w:t>
            </w:r>
          </w:p>
        </w:tc>
      </w:tr>
      <w:tr>
        <w:tc>
          <w:tcPr>
            <w:tcW w:type="dxa" w:w="2736"/>
          </w:tcPr>
          <w:p>
            <w:r/>
            <w:r>
              <w:rPr>
                <w:sz w:val="19"/>
              </w:rPr>
              <w:t>Erreur CORS</w:t>
            </w:r>
          </w:p>
        </w:tc>
        <w:tc>
          <w:tcPr>
            <w:tcW w:type="dxa" w:w="2880"/>
          </w:tcPr>
          <w:p>
            <w:r/>
            <w:r>
              <w:rPr>
                <w:sz w:val="19"/>
              </w:rPr>
              <w:t>Origine non autorisee</w:t>
            </w:r>
          </w:p>
        </w:tc>
        <w:tc>
          <w:tcPr>
            <w:tcW w:type="dxa" w:w="3744"/>
          </w:tcPr>
          <w:p>
            <w:r/>
            <w:r>
              <w:rPr>
                <w:sz w:val="19"/>
              </w:rPr>
              <w:t>Verifier l'URL du frontend dans la liste CORS</w:t>
            </w:r>
          </w:p>
        </w:tc>
      </w:tr>
      <w:tr>
        <w:tc>
          <w:tcPr>
            <w:tcW w:type="dxa" w:w="2736"/>
          </w:tcPr>
          <w:p>
            <w:r/>
            <w:r>
              <w:rPr>
                <w:sz w:val="19"/>
              </w:rPr>
              <w:t>211806 OID invalide (TTN)</w:t>
            </w:r>
          </w:p>
        </w:tc>
        <w:tc>
          <w:tcPr>
            <w:tcW w:type="dxa" w:w="2880"/>
          </w:tcPr>
          <w:p>
            <w:r/>
            <w:r>
              <w:rPr>
                <w:sz w:val="19"/>
              </w:rPr>
              <w:t>Politique non V3.0</w:t>
            </w:r>
          </w:p>
        </w:tc>
        <w:tc>
          <w:tcPr>
            <w:tcW w:type="dxa" w:w="3744"/>
          </w:tcPr>
          <w:p>
            <w:r/>
            <w:r>
              <w:rPr>
                <w:sz w:val="19"/>
              </w:rPr>
              <w:t>Verifier l'OID urn:2.16.788.1.2.1.3 et le SigPolicyHash</w:t>
            </w:r>
          </w:p>
        </w:tc>
      </w:tr>
      <w:tr>
        <w:tc>
          <w:tcPr>
            <w:tcW w:type="dxa" w:w="2736"/>
          </w:tcPr>
          <w:p>
            <w:r/>
            <w:r>
              <w:rPr>
                <w:sz w:val="19"/>
              </w:rPr>
              <w:t>SERV09 (TTN)</w:t>
            </w:r>
          </w:p>
        </w:tc>
        <w:tc>
          <w:tcPr>
            <w:tcW w:type="dxa" w:w="2880"/>
          </w:tcPr>
          <w:p>
            <w:r/>
            <w:r>
              <w:rPr>
                <w:sz w:val="19"/>
              </w:rPr>
              <w:t>Certificat non autorise</w:t>
            </w:r>
          </w:p>
        </w:tc>
        <w:tc>
          <w:tcPr>
            <w:tcW w:type="dxa" w:w="3744"/>
          </w:tcPr>
          <w:p>
            <w:r/>
            <w:r>
              <w:rPr>
                <w:sz w:val="19"/>
              </w:rPr>
              <w:t>Faire activer la serie du certificat aupres de TTN</w:t>
            </w:r>
          </w:p>
        </w:tc>
      </w:tr>
      <w:tr>
        <w:tc>
          <w:tcPr>
            <w:tcW w:type="dxa" w:w="2736"/>
          </w:tcPr>
          <w:p>
            <w:r/>
            <w:r>
              <w:rPr>
                <w:sz w:val="19"/>
              </w:rPr>
              <w:t>SERV01 document existant (TTN)</w:t>
            </w:r>
          </w:p>
        </w:tc>
        <w:tc>
          <w:tcPr>
            <w:tcW w:type="dxa" w:w="2880"/>
          </w:tcPr>
          <w:p>
            <w:r/>
            <w:r>
              <w:rPr>
                <w:sz w:val="19"/>
              </w:rPr>
              <w:t>DocumentIdentifier deja depose</w:t>
            </w:r>
          </w:p>
        </w:tc>
        <w:tc>
          <w:tcPr>
            <w:tcW w:type="dxa" w:w="3744"/>
          </w:tcPr>
          <w:p>
            <w:r/>
            <w:r>
              <w:rPr>
                <w:sz w:val="19"/>
              </w:rPr>
              <w:t>Utiliser un numero de document unique</w:t>
            </w:r>
          </w:p>
        </w:tc>
      </w:tr>
    </w:tbl>
    <w:p/>
    <w:p>
      <w:pPr>
        <w:pStyle w:val="Heading3"/>
      </w:pPr>
      <w:r>
        <w:rPr>
          <w:color w:val="2563EB"/>
          <w:sz w:val="24"/>
        </w:rPr>
        <w:t>Fichier de log</w:t>
      </w:r>
    </w:p>
    <w:p>
      <w:pPr>
        <w:shd w:val="clear" w:color="auto" w:fill="F1F5F9"/>
        <w:spacing w:before="80" w:after="160"/>
        <w:ind w:left="120"/>
      </w:pPr>
      <w:r>
        <w:rPr>
          <w:rFonts w:ascii="Consolas" w:hAnsi="Consolas"/>
          <w:color w:val="0F172A"/>
          <w:sz w:val="19"/>
        </w:rPr>
        <w:t>C:\Users\&lt;votre_nom&gt;\clic2up-sign.log</w:t>
      </w:r>
    </w:p>
    <w:p>
      <w:pPr>
        <w:pStyle w:val="Heading1"/>
      </w:pPr>
      <w:r>
        <w:rPr>
          <w:color w:val="2563EB"/>
          <w:sz w:val="36"/>
        </w:rPr>
        <w:t>Annexe — Historique des versions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1728"/>
            <w:shd w:val="clear" w:color="auto" w:fill="2563EB"/>
          </w:tcPr>
          <w:p>
            <w:r/>
            <w:r>
              <w:rPr>
                <w:b/>
                <w:color w:val="FFFFFF"/>
                <w:sz w:val="20"/>
              </w:rPr>
              <w:t>Version</w:t>
            </w:r>
          </w:p>
        </w:tc>
        <w:tc>
          <w:tcPr>
            <w:tcW w:type="dxa" w:w="7632"/>
            <w:shd w:val="clear" w:color="auto" w:fill="2563EB"/>
          </w:tcPr>
          <w:p>
            <w:r/>
            <w:r>
              <w:rPr>
                <w:b/>
                <w:color w:val="FFFFFF"/>
                <w:sz w:val="20"/>
              </w:rPr>
              <w:t>Points cles</w:t>
            </w:r>
          </w:p>
        </w:tc>
      </w:tr>
      <w:tr>
        <w:tc>
          <w:tcPr>
            <w:tcW w:type="dxa" w:w="1728"/>
          </w:tcPr>
          <w:p>
            <w:r/>
            <w:r>
              <w:rPr>
                <w:sz w:val="19"/>
              </w:rPr>
              <w:t>0.0.0</w:t>
            </w:r>
          </w:p>
        </w:tc>
        <w:tc>
          <w:tcPr>
            <w:tcW w:type="dxa" w:w="7632"/>
          </w:tcPr>
          <w:p>
            <w:r/>
            <w:r>
              <w:rPr>
                <w:sz w:val="19"/>
              </w:rPr>
              <w:t>Version initiale : signeur XAdES-B USB + serveur HTTP local</w:t>
            </w:r>
          </w:p>
        </w:tc>
      </w:tr>
      <w:tr>
        <w:tc>
          <w:tcPr>
            <w:tcW w:type="dxa" w:w="1728"/>
          </w:tcPr>
          <w:p>
            <w:r/>
            <w:r>
              <w:rPr>
                <w:sz w:val="19"/>
              </w:rPr>
              <w:t>0.0.1</w:t>
            </w:r>
          </w:p>
        </w:tc>
        <w:tc>
          <w:tcPr>
            <w:tcW w:type="dxa" w:w="7632"/>
          </w:tcPr>
          <w:p>
            <w:r/>
            <w:r>
              <w:rPr>
                <w:sz w:val="19"/>
              </w:rPr>
              <w:t>Driver PKCS#11 IDPrime par defaut (cle TunTrust)</w:t>
            </w:r>
          </w:p>
        </w:tc>
      </w:tr>
      <w:tr>
        <w:tc>
          <w:tcPr>
            <w:tcW w:type="dxa" w:w="1728"/>
          </w:tcPr>
          <w:p>
            <w:r/>
            <w:r>
              <w:rPr>
                <w:sz w:val="19"/>
              </w:rPr>
              <w:t>0.0.2</w:t>
            </w:r>
          </w:p>
        </w:tc>
        <w:tc>
          <w:tcPr>
            <w:tcW w:type="dxa" w:w="7632"/>
          </w:tcPr>
          <w:p>
            <w:r/>
            <w:r>
              <w:rPr>
                <w:sz w:val="19"/>
              </w:rPr>
              <w:t>Politique de signature ElFatoora V3.0 (etape intermediaire)</w:t>
            </w:r>
          </w:p>
        </w:tc>
      </w:tr>
      <w:tr>
        <w:tc>
          <w:tcPr>
            <w:tcW w:type="dxa" w:w="1728"/>
          </w:tcPr>
          <w:p>
            <w:r/>
            <w:r>
              <w:rPr>
                <w:sz w:val="19"/>
              </w:rPr>
              <w:t>1.0</w:t>
            </w:r>
          </w:p>
        </w:tc>
        <w:tc>
          <w:tcPr>
            <w:tcW w:type="dxa" w:w="7632"/>
          </w:tcPr>
          <w:p>
            <w:r/>
            <w:r>
              <w:rPr>
                <w:sz w:val="19"/>
              </w:rPr>
              <w:t>Nettoyage du code, noms d'artefacts versionnes, signature V3.0 validee de bout en bout (cle USB) : depot ElFatoora -&gt; reference TTN + QR</w:t>
            </w:r>
          </w:p>
        </w:tc>
      </w:tr>
    </w:tbl>
    <w:p/>
    <w:p/>
    <w:p>
      <w:pPr>
        <w:jc w:val="center"/>
      </w:pPr>
      <w:r>
        <w:rPr>
          <w:color w:val="64748B"/>
          <w:sz w:val="18"/>
        </w:rPr>
        <w:t>clic2up-sign v1.0  —  SOCIETE WEBATG  —  Juin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