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356A" w14:textId="0EF43224" w:rsidR="00F60B8B" w:rsidRPr="00BC4745" w:rsidRDefault="00057C07" w:rsidP="00057C07">
      <w:pPr>
        <w:pStyle w:val="Overskrift1"/>
        <w:jc w:val="center"/>
        <w:rPr>
          <w:lang w:val="en-US"/>
        </w:rPr>
      </w:pPr>
      <w:r w:rsidRPr="00BC4745">
        <w:rPr>
          <w:lang w:val="en-US"/>
        </w:rPr>
        <w:t>Data Governance</w:t>
      </w:r>
    </w:p>
    <w:p w14:paraId="493457AF" w14:textId="7814AEC9" w:rsidR="00057C07" w:rsidRPr="00BC4745" w:rsidRDefault="00057C07" w:rsidP="00057C07">
      <w:pPr>
        <w:rPr>
          <w:lang w:val="en-US"/>
        </w:rPr>
      </w:pPr>
    </w:p>
    <w:p w14:paraId="4C824988" w14:textId="1980BEDF" w:rsidR="00057C07" w:rsidRDefault="00057C07" w:rsidP="00057C07">
      <w:pPr>
        <w:rPr>
          <w:lang w:val="en-US"/>
        </w:rPr>
      </w:pPr>
      <w:r w:rsidRPr="00057C07">
        <w:rPr>
          <w:lang w:val="en-US"/>
        </w:rPr>
        <w:t>How to build a Data L</w:t>
      </w:r>
      <w:r>
        <w:rPr>
          <w:lang w:val="en-US"/>
        </w:rPr>
        <w:t>ake the correct way:</w:t>
      </w:r>
    </w:p>
    <w:p w14:paraId="7B272CCD" w14:textId="2F93406C" w:rsidR="00057C07" w:rsidRDefault="00057C07" w:rsidP="00057C07">
      <w:pPr>
        <w:rPr>
          <w:lang w:val="en-US"/>
        </w:rPr>
      </w:pPr>
      <w:r w:rsidRPr="00057C07">
        <w:rPr>
          <w:lang w:val="en-US"/>
        </w:rPr>
        <w:t>https://www.sailpoint.com/identity-library/how-to-build-a-data-governance-policy/</w:t>
      </w:r>
    </w:p>
    <w:p w14:paraId="11E3DC97" w14:textId="26B4A7EE" w:rsidR="00057C07" w:rsidRDefault="00057C07" w:rsidP="00057C07">
      <w:pPr>
        <w:rPr>
          <w:lang w:val="en-US"/>
        </w:rPr>
      </w:pPr>
      <w:r>
        <w:rPr>
          <w:lang w:val="en-US"/>
        </w:rPr>
        <w:t>The overall components of the data governance policy</w:t>
      </w:r>
    </w:p>
    <w:p w14:paraId="64649722" w14:textId="65391157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Policy Purpose</w:t>
      </w:r>
    </w:p>
    <w:p w14:paraId="595B33F6" w14:textId="5A73AFC7" w:rsidR="00057C07" w:rsidRPr="00057C07" w:rsidRDefault="00057C07" w:rsidP="00057C07">
      <w:pPr>
        <w:pStyle w:val="Listeafsnit"/>
        <w:numPr>
          <w:ilvl w:val="1"/>
          <w:numId w:val="1"/>
        </w:numPr>
        <w:rPr>
          <w:lang w:val="en-US"/>
        </w:rPr>
      </w:pPr>
      <w:r w:rsidRPr="00057C07">
        <w:rPr>
          <w:rFonts w:ascii="Arial" w:hAnsi="Arial" w:cs="Arial"/>
          <w:shd w:val="clear" w:color="auto" w:fill="FFFFFF"/>
          <w:lang w:val="en-US"/>
        </w:rPr>
        <w:t>The statement of purpose describes the reason the policy exists and how it supports the organization’s mission or business objectives.</w:t>
      </w:r>
    </w:p>
    <w:p w14:paraId="0BDDAD62" w14:textId="3F1B2F99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Policy Scope</w:t>
      </w:r>
    </w:p>
    <w:p w14:paraId="10FDDB8C" w14:textId="7D158E1C" w:rsidR="00057C07" w:rsidRDefault="00057C07" w:rsidP="00057C07">
      <w:pPr>
        <w:pStyle w:val="Listeafsnit"/>
        <w:numPr>
          <w:ilvl w:val="1"/>
          <w:numId w:val="1"/>
        </w:numPr>
        <w:rPr>
          <w:lang w:val="en-US"/>
        </w:rPr>
      </w:pPr>
      <w:r w:rsidRPr="00057C07">
        <w:rPr>
          <w:rFonts w:ascii="Arial" w:hAnsi="Arial" w:cs="Arial"/>
          <w:shd w:val="clear" w:color="auto" w:fill="FFFFFF"/>
          <w:lang w:val="en-US"/>
        </w:rPr>
        <w:t>The scope explains who is affected by the data governance policy.</w:t>
      </w:r>
    </w:p>
    <w:p w14:paraId="17F93F46" w14:textId="3AADAA47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Policy Rules</w:t>
      </w:r>
    </w:p>
    <w:p w14:paraId="336A4840" w14:textId="565511DA" w:rsidR="00057C07" w:rsidRDefault="00057C07" w:rsidP="00057C07">
      <w:pPr>
        <w:pStyle w:val="Listeafsnit"/>
        <w:numPr>
          <w:ilvl w:val="1"/>
          <w:numId w:val="1"/>
        </w:numPr>
        <w:rPr>
          <w:lang w:val="en-US"/>
        </w:rPr>
      </w:pPr>
      <w:r w:rsidRPr="00057C07">
        <w:rPr>
          <w:rFonts w:ascii="Arial" w:hAnsi="Arial" w:cs="Arial"/>
          <w:shd w:val="clear" w:color="auto" w:fill="FFFFFF"/>
          <w:lang w:val="en-US"/>
        </w:rPr>
        <w:t>This is the main section that outlines the rules guiding data usage, and access.</w:t>
      </w:r>
    </w:p>
    <w:p w14:paraId="32B781A7" w14:textId="113F25C7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Stakeholder roles and responsibilities</w:t>
      </w:r>
    </w:p>
    <w:p w14:paraId="3910BEAB" w14:textId="68C5DA27" w:rsidR="00057C07" w:rsidRPr="00057C07" w:rsidRDefault="00057C07" w:rsidP="00057C07">
      <w:pPr>
        <w:pStyle w:val="Listeafsnit"/>
        <w:numPr>
          <w:ilvl w:val="1"/>
          <w:numId w:val="1"/>
        </w:numPr>
        <w:rPr>
          <w:lang w:val="en-US"/>
        </w:rPr>
      </w:pPr>
      <w:r w:rsidRPr="00057C07">
        <w:rPr>
          <w:rFonts w:ascii="Arial" w:hAnsi="Arial" w:cs="Arial"/>
          <w:shd w:val="clear" w:color="auto" w:fill="FFFFFF"/>
          <w:lang w:val="en-US"/>
        </w:rPr>
        <w:t xml:space="preserve">Stakeholders range </w:t>
      </w:r>
      <w:proofErr w:type="gramStart"/>
      <w:r w:rsidRPr="00057C07">
        <w:rPr>
          <w:rFonts w:ascii="Arial" w:hAnsi="Arial" w:cs="Arial"/>
          <w:shd w:val="clear" w:color="auto" w:fill="FFFFFF"/>
          <w:lang w:val="en-US"/>
        </w:rPr>
        <w:t>from the data governance body (such as a governance board or committee) and data owners,</w:t>
      </w:r>
      <w:proofErr w:type="gramEnd"/>
      <w:r w:rsidRPr="00057C07">
        <w:rPr>
          <w:rFonts w:ascii="Arial" w:hAnsi="Arial" w:cs="Arial"/>
          <w:shd w:val="clear" w:color="auto" w:fill="FFFFFF"/>
          <w:lang w:val="en-US"/>
        </w:rPr>
        <w:t xml:space="preserve"> to data stewards and data users.</w:t>
      </w:r>
    </w:p>
    <w:p w14:paraId="5D577E1D" w14:textId="094F097A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Definitions</w:t>
      </w:r>
    </w:p>
    <w:p w14:paraId="7C7C9C68" w14:textId="77777777" w:rsidR="00057C07" w:rsidRPr="00057C07" w:rsidRDefault="00057C07" w:rsidP="00057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057C07">
        <w:rPr>
          <w:rFonts w:ascii="Arial" w:eastAsia="Times New Roman" w:hAnsi="Arial" w:cs="Arial"/>
          <w:sz w:val="24"/>
          <w:szCs w:val="24"/>
          <w:lang w:eastAsia="da-DK"/>
        </w:rPr>
        <w:t>Data</w:t>
      </w:r>
    </w:p>
    <w:p w14:paraId="5389492D" w14:textId="77777777" w:rsidR="00057C07" w:rsidRPr="00057C07" w:rsidRDefault="00057C07" w:rsidP="00057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057C07">
        <w:rPr>
          <w:rFonts w:ascii="Arial" w:eastAsia="Times New Roman" w:hAnsi="Arial" w:cs="Arial"/>
          <w:sz w:val="24"/>
          <w:szCs w:val="24"/>
          <w:lang w:eastAsia="da-DK"/>
        </w:rPr>
        <w:t>Access</w:t>
      </w:r>
    </w:p>
    <w:p w14:paraId="54C925E1" w14:textId="77777777" w:rsidR="00057C07" w:rsidRPr="00057C07" w:rsidRDefault="00057C07" w:rsidP="00057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057C07">
        <w:rPr>
          <w:rFonts w:ascii="Arial" w:eastAsia="Times New Roman" w:hAnsi="Arial" w:cs="Arial"/>
          <w:sz w:val="24"/>
          <w:szCs w:val="24"/>
          <w:lang w:eastAsia="da-DK"/>
        </w:rPr>
        <w:t>Data user</w:t>
      </w:r>
    </w:p>
    <w:p w14:paraId="43BEFD1C" w14:textId="77777777" w:rsidR="00057C07" w:rsidRPr="00057C07" w:rsidRDefault="00057C07" w:rsidP="00057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proofErr w:type="spellStart"/>
      <w:r w:rsidRPr="00057C07">
        <w:rPr>
          <w:rFonts w:ascii="Arial" w:eastAsia="Times New Roman" w:hAnsi="Arial" w:cs="Arial"/>
          <w:sz w:val="24"/>
          <w:szCs w:val="24"/>
          <w:lang w:eastAsia="da-DK"/>
        </w:rPr>
        <w:t>Custodian</w:t>
      </w:r>
      <w:proofErr w:type="spellEnd"/>
    </w:p>
    <w:p w14:paraId="382B31BC" w14:textId="1EED3AE0" w:rsidR="00057C07" w:rsidRPr="00057C07" w:rsidRDefault="00057C07" w:rsidP="00057C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a-DK"/>
        </w:rPr>
      </w:pPr>
      <w:r w:rsidRPr="00057C07">
        <w:rPr>
          <w:rFonts w:ascii="Arial" w:eastAsia="Times New Roman" w:hAnsi="Arial" w:cs="Arial"/>
          <w:sz w:val="24"/>
          <w:szCs w:val="24"/>
          <w:lang w:eastAsia="da-DK"/>
        </w:rPr>
        <w:t>Metadata</w:t>
      </w:r>
    </w:p>
    <w:p w14:paraId="15F1E633" w14:textId="0DF867F0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Process</w:t>
      </w:r>
    </w:p>
    <w:p w14:paraId="0DB81D62" w14:textId="5C354E21" w:rsidR="00057C07" w:rsidRDefault="00057C07" w:rsidP="00057C07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I</w:t>
      </w:r>
      <w:r w:rsidRPr="00057C07">
        <w:rPr>
          <w:rFonts w:ascii="Arial" w:hAnsi="Arial" w:cs="Arial"/>
          <w:shd w:val="clear" w:color="auto" w:fill="FFFFFF"/>
          <w:lang w:val="en-US"/>
        </w:rPr>
        <w:t>ncluded in a policy by some organizations, this section describes how the data governance policy is established, reviewed, and updated.</w:t>
      </w:r>
    </w:p>
    <w:p w14:paraId="577C8A9C" w14:textId="1E7E0BA3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</w:t>
      </w:r>
    </w:p>
    <w:p w14:paraId="6491309F" w14:textId="571C2C3D" w:rsidR="00057C07" w:rsidRPr="00057C07" w:rsidRDefault="00057C07" w:rsidP="00057C07">
      <w:pPr>
        <w:pStyle w:val="Listeafsnit"/>
        <w:numPr>
          <w:ilvl w:val="1"/>
          <w:numId w:val="1"/>
        </w:numPr>
        <w:rPr>
          <w:lang w:val="en-US"/>
        </w:rPr>
      </w:pPr>
      <w:r w:rsidRPr="00057C07">
        <w:rPr>
          <w:rFonts w:ascii="Arial" w:hAnsi="Arial" w:cs="Arial"/>
          <w:shd w:val="clear" w:color="auto" w:fill="FFFFFF"/>
          <w:lang w:val="en-US"/>
        </w:rPr>
        <w:t>Any related documents, policies, or regulations are referenced in this section.</w:t>
      </w:r>
    </w:p>
    <w:p w14:paraId="6ED9F8F3" w14:textId="40C87026" w:rsidR="00057C07" w:rsidRDefault="00057C07" w:rsidP="00057C0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An Explanation of the risks related to data</w:t>
      </w:r>
    </w:p>
    <w:p w14:paraId="6483423C" w14:textId="5D12F25F" w:rsidR="00057C07" w:rsidRDefault="00057C07" w:rsidP="00057C0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Applicable regulations</w:t>
      </w:r>
    </w:p>
    <w:p w14:paraId="3AE9006D" w14:textId="359A7FAD" w:rsidR="00057C07" w:rsidRDefault="00057C07" w:rsidP="00057C0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Violations</w:t>
      </w:r>
    </w:p>
    <w:p w14:paraId="0320E977" w14:textId="2053874D" w:rsidR="00057C07" w:rsidRDefault="00057C07" w:rsidP="00057C0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Guiding principles</w:t>
      </w:r>
    </w:p>
    <w:p w14:paraId="3F7A68D1" w14:textId="65FB2022" w:rsidR="00057C07" w:rsidRDefault="00057C07" w:rsidP="00057C07">
      <w:pPr>
        <w:pStyle w:val="Overskrift1"/>
        <w:rPr>
          <w:lang w:val="en-US"/>
        </w:rPr>
      </w:pPr>
      <w:r>
        <w:rPr>
          <w:lang w:val="en-US"/>
        </w:rPr>
        <w:t>Common rules to consider:</w:t>
      </w:r>
    </w:p>
    <w:p w14:paraId="6E0CB76D" w14:textId="797B82BE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and availability</w:t>
      </w:r>
    </w:p>
    <w:p w14:paraId="1253B986" w14:textId="7E34C097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usage</w:t>
      </w:r>
    </w:p>
    <w:p w14:paraId="48CD591D" w14:textId="266964B3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Quality and Integration</w:t>
      </w:r>
    </w:p>
    <w:p w14:paraId="3448E1D9" w14:textId="4B15ED57" w:rsidR="00057C07" w:rsidRDefault="00057C07" w:rsidP="00057C0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Security</w:t>
      </w:r>
    </w:p>
    <w:p w14:paraId="233F06F0" w14:textId="18AC44E0" w:rsidR="00057C07" w:rsidRDefault="00057C07" w:rsidP="00057C07">
      <w:pPr>
        <w:rPr>
          <w:lang w:val="en-US"/>
        </w:rPr>
      </w:pPr>
    </w:p>
    <w:p w14:paraId="23DB0BE2" w14:textId="6124E403" w:rsidR="00057C07" w:rsidRDefault="00057C07" w:rsidP="00057C07">
      <w:pPr>
        <w:pStyle w:val="Overskrift1"/>
        <w:rPr>
          <w:lang w:val="en-US"/>
        </w:rPr>
      </w:pPr>
      <w:r>
        <w:rPr>
          <w:lang w:val="en-US"/>
        </w:rPr>
        <w:t>13 Steps to create a Data governance plan</w:t>
      </w:r>
    </w:p>
    <w:p w14:paraId="5F4C3156" w14:textId="3BF31314" w:rsidR="00057C07" w:rsidRDefault="00057C07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Access your current data-related challenges and constraints and the state of existing data governance activities</w:t>
      </w:r>
    </w:p>
    <w:p w14:paraId="772FB370" w14:textId="63443B9B" w:rsidR="00057C07" w:rsidRDefault="00057C07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 the business prerequisites and challenges that are driving the need for a policy</w:t>
      </w:r>
    </w:p>
    <w:p w14:paraId="4BAF9D72" w14:textId="6068E5D6" w:rsidR="00057C07" w:rsidRDefault="00057C07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Establish the business case for a policy and make sure you have buy-in from top leadership</w:t>
      </w:r>
    </w:p>
    <w:p w14:paraId="334637B5" w14:textId="2AAE4ED7" w:rsidR="00057C07" w:rsidRDefault="00057C07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Assemble your </w:t>
      </w:r>
      <w:r w:rsidR="00467DDC">
        <w:rPr>
          <w:lang w:val="en-US"/>
        </w:rPr>
        <w:t>data governance</w:t>
      </w:r>
      <w:r>
        <w:rPr>
          <w:lang w:val="en-US"/>
        </w:rPr>
        <w:t xml:space="preserve"> team and define their </w:t>
      </w:r>
      <w:proofErr w:type="spellStart"/>
      <w:r>
        <w:rPr>
          <w:lang w:val="en-US"/>
        </w:rPr>
        <w:t>respon</w:t>
      </w:r>
      <w:proofErr w:type="spellEnd"/>
      <w:r w:rsidR="00C34336">
        <w:rPr>
          <w:lang w:val="en-US"/>
        </w:rPr>
        <w:t xml:space="preserve"> </w:t>
      </w:r>
      <w:proofErr w:type="spellStart"/>
      <w:r>
        <w:rPr>
          <w:lang w:val="en-US"/>
        </w:rPr>
        <w:t>sibilities</w:t>
      </w:r>
      <w:proofErr w:type="spellEnd"/>
      <w:r>
        <w:rPr>
          <w:lang w:val="en-US"/>
        </w:rPr>
        <w:t xml:space="preserve">. Not all the stakeholders will be actively involved in building the policy; </w:t>
      </w:r>
      <w:r w:rsidR="00467DDC">
        <w:rPr>
          <w:lang w:val="en-US"/>
        </w:rPr>
        <w:t>however,</w:t>
      </w:r>
      <w:r>
        <w:rPr>
          <w:lang w:val="en-US"/>
        </w:rPr>
        <w:t xml:space="preserve"> all should be empowered to provide input and play a role in the process.</w:t>
      </w:r>
    </w:p>
    <w:p w14:paraId="4B3CB1B2" w14:textId="18012F48" w:rsidR="00681C9A" w:rsidRDefault="00681C9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the key stakeholders and decision-makers across different business units and functions.</w:t>
      </w:r>
    </w:p>
    <w:p w14:paraId="007FA039" w14:textId="17F19152" w:rsidR="00681C9A" w:rsidRDefault="00681C9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the stakeholders’ input, including data challenges, expectations for the policy, and their needs. This can be achieved through a combination of formal and informal activities.</w:t>
      </w:r>
    </w:p>
    <w:p w14:paraId="2960A52C" w14:textId="054FF1C1" w:rsidR="00681C9A" w:rsidRDefault="00681C9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Understand the impacts of the data governance policy on the different </w:t>
      </w:r>
      <w:r w:rsidR="00467DDC">
        <w:rPr>
          <w:lang w:val="en-US"/>
        </w:rPr>
        <w:t>stakeholders’</w:t>
      </w:r>
      <w:r>
        <w:rPr>
          <w:lang w:val="en-US"/>
        </w:rPr>
        <w:t xml:space="preserve"> categories. This will help you with tactical execution, including how to motivate stakeholders’ participation in adopting and complying with the policy.</w:t>
      </w:r>
    </w:p>
    <w:p w14:paraId="20C6892E" w14:textId="6E8C0DE8" w:rsidR="00681C9A" w:rsidRDefault="00681C9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the shared vision in mind when you create your initial draft. Get feedback from stakeholders and decision makers and iterate.</w:t>
      </w:r>
    </w:p>
    <w:p w14:paraId="3CBA271F" w14:textId="02EA70C1" w:rsidR="0067580E" w:rsidRPr="00BC4745" w:rsidRDefault="0067580E" w:rsidP="00F24CAF">
      <w:pPr>
        <w:pStyle w:val="Listeafsnit"/>
        <w:numPr>
          <w:ilvl w:val="0"/>
          <w:numId w:val="3"/>
        </w:numPr>
        <w:rPr>
          <w:lang w:val="en-US"/>
        </w:rPr>
      </w:pPr>
      <w:r w:rsidRPr="00BC4745">
        <w:rPr>
          <w:lang w:val="en-US"/>
        </w:rPr>
        <w:t>Define the metrics you can use to measure implementation success and policy performance. Plan for both short-term and long-term measurements and assign specific roles or individuals to this task.</w:t>
      </w:r>
    </w:p>
    <w:p w14:paraId="0DFE691B" w14:textId="3AF0A36C" w:rsidR="00681C9A" w:rsidRDefault="00C66E1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an organization-wide rollout plan. This should include a communication plan, as well as resources for training and education as necessary.</w:t>
      </w:r>
    </w:p>
    <w:p w14:paraId="2A70CBE7" w14:textId="5584D0CD" w:rsidR="00C66E1A" w:rsidRDefault="00C66E1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Discuss potential technology needs, and what existing IT tools you can repurpose for supporting and enforcing the new data governance policy.</w:t>
      </w:r>
    </w:p>
    <w:p w14:paraId="634B1D84" w14:textId="17DA5126" w:rsidR="00C66E1A" w:rsidRDefault="00C66E1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results and share quick wins with the stakeholders. This reinforces the importance of the policy and promotes continuous buy-in.</w:t>
      </w:r>
    </w:p>
    <w:p w14:paraId="2D67DB20" w14:textId="17716C43" w:rsidR="00C66E1A" w:rsidRPr="00057C07" w:rsidRDefault="00C66E1A" w:rsidP="00057C0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the policy regularly to keep it relevant, current and effective.</w:t>
      </w:r>
    </w:p>
    <w:sectPr w:rsidR="00C66E1A" w:rsidRPr="00057C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DEC"/>
    <w:multiLevelType w:val="multilevel"/>
    <w:tmpl w:val="3EB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A22FF"/>
    <w:multiLevelType w:val="hybridMultilevel"/>
    <w:tmpl w:val="4AD89F70"/>
    <w:lvl w:ilvl="0" w:tplc="3CEA4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6E60"/>
    <w:multiLevelType w:val="hybridMultilevel"/>
    <w:tmpl w:val="481CA7DC"/>
    <w:lvl w:ilvl="0" w:tplc="39F28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358D1"/>
    <w:multiLevelType w:val="multilevel"/>
    <w:tmpl w:val="1F78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447331">
    <w:abstractNumId w:val="1"/>
  </w:num>
  <w:num w:numId="2" w16cid:durableId="244191168">
    <w:abstractNumId w:val="0"/>
  </w:num>
  <w:num w:numId="3" w16cid:durableId="1130830119">
    <w:abstractNumId w:val="2"/>
  </w:num>
  <w:num w:numId="4" w16cid:durableId="195580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07"/>
    <w:rsid w:val="00057C07"/>
    <w:rsid w:val="00467DDC"/>
    <w:rsid w:val="0067580E"/>
    <w:rsid w:val="00681C9A"/>
    <w:rsid w:val="00BC4745"/>
    <w:rsid w:val="00C34336"/>
    <w:rsid w:val="00C66E1A"/>
    <w:rsid w:val="00F24CAF"/>
    <w:rsid w:val="00F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71E"/>
  <w15:chartTrackingRefBased/>
  <w15:docId w15:val="{EF2FAD44-A767-4711-BB22-09653A73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5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6B612480EA94080E76FF9C7E1762A" ma:contentTypeVersion="6" ma:contentTypeDescription="Create a new document." ma:contentTypeScope="" ma:versionID="67de0da4609626514a2db4561221b7e5">
  <xsd:schema xmlns:xsd="http://www.w3.org/2001/XMLSchema" xmlns:xs="http://www.w3.org/2001/XMLSchema" xmlns:p="http://schemas.microsoft.com/office/2006/metadata/properties" xmlns:ns3="318e09ec-6ef0-47d6-b479-8dcae786bcf5" targetNamespace="http://schemas.microsoft.com/office/2006/metadata/properties" ma:root="true" ma:fieldsID="ca63c7a0584174280be31a0e905ac0e7" ns3:_="">
    <xsd:import namespace="318e09ec-6ef0-47d6-b479-8dcae786bc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e09ec-6ef0-47d6-b479-8dcae786b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505D35-208F-438F-A379-CB62A771BDA5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18e09ec-6ef0-47d6-b479-8dcae786bcf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492739-F6C5-402B-9BD6-ACAEB1271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6149-085C-488C-8042-694CAD50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e09ec-6ef0-47d6-b479-8dcae786b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2</cp:revision>
  <dcterms:created xsi:type="dcterms:W3CDTF">2022-05-02T05:23:00Z</dcterms:created>
  <dcterms:modified xsi:type="dcterms:W3CDTF">2022-05-02T05:23:00Z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0x0101006F86B612480EA94080E76FF9C7E1762A</vt:lpwstr>
  </property>
</Properties>
</file>