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Apparent post-recession catch-up in U.S. housing recovery is a statistical mirage.</w:t>
      </w:r>
    </w:p>
    <w:p>
      <w:pPr>
        <w:pStyle w:val="ListBullet"/>
      </w:pPr>
      <w:r>
        <w:rPr>
          <w:rFonts w:ascii="Times New Roman" w:hAnsi="Times New Roman"/>
          <w:sz w:val="24"/>
        </w:rPr>
        <w:t>Shift-share (Bartik) instruments are invalid when local housing is the outcome.</w:t>
      </w:r>
    </w:p>
    <w:p>
      <w:pPr>
        <w:pStyle w:val="ListBullet"/>
      </w:pPr>
      <w:r>
        <w:rPr>
          <w:rFonts w:ascii="Times New Roman" w:hAnsi="Times New Roman"/>
          <w:sz w:val="24"/>
        </w:rPr>
        <w:t>Catch-up vanishes once strong spatial dependence (Moran I = 0.70) is honored.</w:t>
      </w:r>
    </w:p>
    <w:p>
      <w:pPr>
        <w:pStyle w:val="ListBullet"/>
      </w:pPr>
      <w:r>
        <w:rPr>
          <w:rFonts w:ascii="Times New Roman" w:hAnsi="Times New Roman"/>
          <w:sz w:val="24"/>
        </w:rPr>
        <w:t>Recovery is spatially persistent: 360 Low-Low cores and a depressed cluster endure.</w:t>
      </w:r>
    </w:p>
    <w:p>
      <w:pPr>
        <w:pStyle w:val="ListBullet"/>
      </w:pPr>
      <w:r>
        <w:rPr>
          <w:rFonts w:ascii="Times New Roman" w:hAnsi="Times New Roman"/>
          <w:sz w:val="24"/>
        </w:rPr>
        <w:t>Low-Low LISA footprint gives a CRA assessment-area targeting criterion.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