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F3864"/>
          <w:sz w:val="24"/>
          <w:szCs w:val="24"/>
        </w:rPr>
        <w:t xml:space="preserve">DEPARTMENT OF COMMERCE, UNIVERSITY OF DELHI</w:t>
      </w:r>
    </w:p>
    <w:p>
      <w:pPr>
        <w:spacing w:after="40"/>
        <w:jc w:val="center"/>
      </w:pPr>
      <w:r>
        <w:rPr>
          <w:rFonts w:ascii="Arial" w:cs="Arial" w:eastAsia="Arial" w:hAnsi="Arial"/>
          <w:b/>
          <w:bCs/>
          <w:color w:val="2E5496"/>
          <w:sz w:val="22"/>
          <w:szCs w:val="22"/>
        </w:rPr>
        <w:t xml:space="preserve">DEPARTMENTAL RESEARCH ETHICS COMMITTEE (DREC)</w:t>
      </w:r>
    </w:p>
    <w:p>
      <w:pPr>
        <w:spacing w:after="40"/>
        <w:jc w:val="center"/>
      </w:pPr>
      <w:r>
        <w:rPr>
          <w:rFonts w:ascii="Arial" w:cs="Arial" w:eastAsia="Arial" w:hAnsi="Arial"/>
          <w:b/>
          <w:bCs/>
          <w:sz w:val="22"/>
          <w:szCs w:val="22"/>
        </w:rPr>
        <w:t xml:space="preserve">Standard Operating Protocol for Proposal Evaluation</w:t>
      </w:r>
    </w:p>
    <w:p>
      <w:pPr>
        <w:spacing w:after="240"/>
        <w:jc w:val="center"/>
      </w:pPr>
      <w:r>
        <w:rPr>
          <w:rFonts w:ascii="Arial" w:cs="Arial" w:eastAsia="Arial" w:hAnsi="Arial"/>
          <w:i/>
          <w:iCs/>
          <w:color w:val="595959"/>
          <w:sz w:val="18"/>
          <w:szCs w:val="18"/>
        </w:rPr>
        <w:t xml:space="preserve">Ref: DU-DoC-DREC-2025-01  |  Version 1.0  |  AY 2025-26</w:t>
      </w:r>
    </w:p>
    <w:p>
      <w:pPr>
        <w:pStyle w:val="Heading1"/>
        <w:spacing w:after="120" w:before="240"/>
      </w:pPr>
      <w:r>
        <w:rPr>
          <w:rFonts w:ascii="Arial" w:cs="Arial" w:eastAsia="Arial" w:hAnsi="Arial"/>
        </w:rPr>
        <w:t xml:space="preserve">1. Purpose &amp; Scope</w:t>
      </w:r>
    </w:p>
    <w:p>
      <w:pPr>
        <w:spacing w:after="120"/>
      </w:pPr>
      <w:r>
        <w:rPr>
          <w:rFonts w:ascii="Arial" w:cs="Arial" w:eastAsia="Arial" w:hAnsi="Arial"/>
          <w:sz w:val="20"/>
          <w:szCs w:val="20"/>
        </w:rPr>
        <w:t xml:space="preserve">This protocol operationalises the DREC Guidelines (DU-DoC-DREC-2025-01) for the practical evaluation of PhD ethical-clearance applications. It defines what scholars must submit, how applications are triaged and screened, how proposals are scored and decided, and how decisions are recorded transparently. It is to be read with the DREC Evaluation Toolkit (spreadsheet) and the Forms Compendium (DREC-01 to DREC-09).</w:t>
      </w:r>
    </w:p>
    <w:p>
      <w:pPr>
        <w:pStyle w:val="Heading1"/>
        <w:spacing w:after="120" w:before="240"/>
      </w:pPr>
      <w:r>
        <w:rPr>
          <w:rFonts w:ascii="Arial" w:cs="Arial" w:eastAsia="Arial" w:hAnsi="Arial"/>
        </w:rPr>
        <w:t xml:space="preserve">2. What the Applicant Must Submit, and in What Format</w:t>
      </w:r>
    </w:p>
    <w:p>
      <w:pPr>
        <w:pStyle w:val="Heading2"/>
        <w:spacing w:after="80" w:before="180"/>
      </w:pPr>
      <w:r>
        <w:rPr>
          <w:rFonts w:ascii="Arial" w:cs="Arial" w:eastAsia="Arial" w:hAnsi="Arial"/>
        </w:rPr>
        <w:t xml:space="preserve">2.1 File format</w:t>
      </w:r>
    </w:p>
    <w:p>
      <w:pPr>
        <w:pStyle w:val="ListParagraph"/>
        <w:numPr>
          <w:ilvl w:val="0"/>
          <w:numId w:val="2"/>
        </w:numPr>
        <w:spacing w:after="60"/>
      </w:pPr>
      <w:r>
        <w:rPr>
          <w:rFonts w:ascii="Arial" w:cs="Arial" w:eastAsia="Arial" w:hAnsi="Arial"/>
          <w:sz w:val="20"/>
          <w:szCs w:val="20"/>
        </w:rPr>
        <w:t xml:space="preserve">The proposal/Research Protocol follows the prescribed template (see Forms Compendium): A4, Arial or Times New Roman 11–12 pt, 1.5 spacing, 2.54 cm margins, numbered pages, maximum 15 pages excluding annexures.</w:t>
      </w:r>
    </w:p>
    <w:p>
      <w:pPr>
        <w:pStyle w:val="ListParagraph"/>
        <w:numPr>
          <w:ilvl w:val="0"/>
          <w:numId w:val="2"/>
        </w:numPr>
        <w:spacing w:after="60"/>
      </w:pPr>
      <w:r>
        <w:rPr>
          <w:rFonts w:ascii="Arial" w:cs="Arial" w:eastAsia="Arial" w:hAnsi="Arial"/>
          <w:sz w:val="20"/>
          <w:szCs w:val="20"/>
        </w:rPr>
        <w:t xml:space="preserve">The supervisor-signed final proposal is submitted as a single, locked PDF. Editable forms (DREC-01 to DREC-05) may be submitted as DOCX or PDF.</w:t>
      </w:r>
    </w:p>
    <w:p>
      <w:pPr>
        <w:pStyle w:val="ListParagraph"/>
        <w:numPr>
          <w:ilvl w:val="0"/>
          <w:numId w:val="2"/>
        </w:numPr>
        <w:spacing w:after="60"/>
      </w:pPr>
      <w:r>
        <w:rPr>
          <w:rFonts w:ascii="Arial" w:cs="Arial" w:eastAsia="Arial" w:hAnsi="Arial"/>
          <w:sz w:val="20"/>
          <w:szCs w:val="20"/>
        </w:rPr>
        <w:t xml:space="preserve">All documents are submitted as one packet in the scholar's folder, named: &lt;Enrolment No.&gt;_&lt;Surname&gt;_DREC-01 ... so the Member Secretary can verify completeness at a glance.</w:t>
      </w:r>
    </w:p>
    <w:p>
      <w:pPr>
        <w:pStyle w:val="Heading2"/>
        <w:spacing w:after="80" w:before="180"/>
      </w:pPr>
      <w:r>
        <w:rPr>
          <w:rFonts w:ascii="Arial" w:cs="Arial" w:eastAsia="Arial" w:hAnsi="Arial"/>
        </w:rPr>
        <w:t xml:space="preserve">2.2 The complete application packet (Guideline §4.2)</w:t>
      </w:r>
    </w:p>
    <w:p>
      <w:pPr>
        <w:spacing w:after="120"/>
      </w:pPr>
      <w:r>
        <w:rPr>
          <w:rFonts w:ascii="Arial" w:cs="Arial" w:eastAsia="Arial" w:hAnsi="Arial"/>
          <w:i/>
          <w:iCs/>
          <w:sz w:val="20"/>
          <w:szCs w:val="20"/>
        </w:rPr>
        <w:t xml:space="preserve">An application is complete only when all mandatory documents — and any conditional documents triggered by the study design — are present. Incomplete applications are returned without review.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6526"/>
        <w:gridCol w:w="1900"/>
      </w:tblGrid>
      <w:tr>
        <w:trPr>
          <w:tblHeader/>
        </w:trPr>
        <w:tc>
          <w:tcPr>
            <w:tcW w:type="dxa" w:w="600"/>
            <w:tcBorders>
              <w:top w:val="single" w:color="BFBFBF" w:sz="1"/>
              <w:left w:val="single" w:color="BFBFBF" w:sz="1"/>
              <w:bottom w:val="single" w:color="BFBFBF" w:sz="1"/>
              <w:right w:val="single" w:color="BFBFBF" w:sz="1"/>
            </w:tcBorders>
            <w:shd w:fill="2E5496"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w:t>
            </w:r>
          </w:p>
        </w:tc>
        <w:tc>
          <w:tcPr>
            <w:tcW w:type="dxa" w:w="6526"/>
            <w:tcBorders>
              <w:top w:val="single" w:color="BFBFBF" w:sz="1"/>
              <w:left w:val="single" w:color="BFBFBF" w:sz="1"/>
              <w:bottom w:val="single" w:color="BFBFBF" w:sz="1"/>
              <w:right w:val="single" w:color="BFBFBF" w:sz="1"/>
            </w:tcBorders>
            <w:shd w:fill="2E5496"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Document</w:t>
            </w:r>
          </w:p>
        </w:tc>
        <w:tc>
          <w:tcPr>
            <w:tcW w:type="dxa" w:w="1900"/>
            <w:tcBorders>
              <w:top w:val="single" w:color="BFBFBF" w:sz="1"/>
              <w:left w:val="single" w:color="BFBFBF" w:sz="1"/>
              <w:bottom w:val="single" w:color="BFBFBF" w:sz="1"/>
              <w:right w:val="single" w:color="BFBFBF" w:sz="1"/>
            </w:tcBorders>
            <w:shd w:fill="2E5496"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Requirement</w:t>
            </w:r>
          </w:p>
        </w:tc>
      </w:tr>
      <w:tr>
        <w:tc>
          <w:tcPr>
            <w:tcW w:type="dxa" w:w="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pPr>
            <w:r>
              <w:rPr>
                <w:rFonts w:ascii="Arial" w:cs="Arial" w:eastAsia="Arial" w:hAnsi="Arial"/>
                <w:b w:val="false"/>
                <w:bCs w:val="false"/>
                <w:sz w:val="18"/>
                <w:szCs w:val="18"/>
              </w:rPr>
              <w:t xml:space="preserve">1</w:t>
            </w:r>
          </w:p>
        </w:tc>
        <w:tc>
          <w:tcPr>
            <w:tcW w:type="dxa" w:w="6526"/>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b w:val="false"/>
                <w:bCs w:val="false"/>
                <w:sz w:val="18"/>
                <w:szCs w:val="18"/>
              </w:rPr>
              <w:t xml:space="preserve">DREC Application Form (DREC-01)</w:t>
            </w:r>
          </w:p>
        </w:tc>
        <w:tc>
          <w:tcPr>
            <w:tcW w:type="dxa" w:w="19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b w:val="false"/>
                <w:bCs w:val="false"/>
                <w:sz w:val="18"/>
                <w:szCs w:val="18"/>
              </w:rPr>
              <w:t xml:space="preserve">Mandatory</w:t>
            </w:r>
          </w:p>
        </w:tc>
      </w:tr>
      <w:tr>
        <w:tc>
          <w:tcPr>
            <w:tcW w:type="dxa" w:w="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pPr>
            <w:r>
              <w:rPr>
                <w:rFonts w:ascii="Arial" w:cs="Arial" w:eastAsia="Arial" w:hAnsi="Arial"/>
                <w:b w:val="false"/>
                <w:bCs w:val="false"/>
                <w:sz w:val="18"/>
                <w:szCs w:val="18"/>
              </w:rPr>
              <w:t xml:space="preserve">2</w:t>
            </w:r>
          </w:p>
        </w:tc>
        <w:tc>
          <w:tcPr>
            <w:tcW w:type="dxa" w:w="6526"/>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b w:val="false"/>
                <w:bCs w:val="false"/>
                <w:sz w:val="18"/>
                <w:szCs w:val="18"/>
              </w:rPr>
              <w:t xml:space="preserve">Approved Synopsis / Proposal (supervisor-signed)</w:t>
            </w:r>
          </w:p>
        </w:tc>
        <w:tc>
          <w:tcPr>
            <w:tcW w:type="dxa" w:w="19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b w:val="false"/>
                <w:bCs w:val="false"/>
                <w:sz w:val="18"/>
                <w:szCs w:val="18"/>
              </w:rPr>
              <w:t xml:space="preserve">Mandatory</w:t>
            </w:r>
          </w:p>
        </w:tc>
      </w:tr>
      <w:tr>
        <w:tc>
          <w:tcPr>
            <w:tcW w:type="dxa" w:w="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pPr>
            <w:r>
              <w:rPr>
                <w:rFonts w:ascii="Arial" w:cs="Arial" w:eastAsia="Arial" w:hAnsi="Arial"/>
                <w:b w:val="false"/>
                <w:bCs w:val="false"/>
                <w:sz w:val="18"/>
                <w:szCs w:val="18"/>
              </w:rPr>
              <w:t xml:space="preserve">3</w:t>
            </w:r>
          </w:p>
        </w:tc>
        <w:tc>
          <w:tcPr>
            <w:tcW w:type="dxa" w:w="6526"/>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b w:val="false"/>
                <w:bCs w:val="false"/>
                <w:sz w:val="18"/>
                <w:szCs w:val="18"/>
              </w:rPr>
              <w:t xml:space="preserve">Research Protocol (per template)</w:t>
            </w:r>
          </w:p>
        </w:tc>
        <w:tc>
          <w:tcPr>
            <w:tcW w:type="dxa" w:w="19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b w:val="false"/>
                <w:bCs w:val="false"/>
                <w:sz w:val="18"/>
                <w:szCs w:val="18"/>
              </w:rPr>
              <w:t xml:space="preserve">Mandatory</w:t>
            </w:r>
          </w:p>
        </w:tc>
      </w:tr>
      <w:tr>
        <w:tc>
          <w:tcPr>
            <w:tcW w:type="dxa" w:w="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pPr>
            <w:r>
              <w:rPr>
                <w:rFonts w:ascii="Arial" w:cs="Arial" w:eastAsia="Arial" w:hAnsi="Arial"/>
                <w:b w:val="false"/>
                <w:bCs w:val="false"/>
                <w:sz w:val="18"/>
                <w:szCs w:val="18"/>
              </w:rPr>
              <w:t xml:space="preserve">4</w:t>
            </w:r>
          </w:p>
        </w:tc>
        <w:tc>
          <w:tcPr>
            <w:tcW w:type="dxa" w:w="6526"/>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b w:val="false"/>
                <w:bCs w:val="false"/>
                <w:sz w:val="18"/>
                <w:szCs w:val="18"/>
              </w:rPr>
              <w:t xml:space="preserve">Questionnaire / Interview Guide / Observation Schedule</w:t>
            </w:r>
          </w:p>
        </w:tc>
        <w:tc>
          <w:tcPr>
            <w:tcW w:type="dxa" w:w="19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b w:val="false"/>
                <w:bCs w:val="false"/>
                <w:sz w:val="18"/>
                <w:szCs w:val="18"/>
              </w:rPr>
              <w:t xml:space="preserve">If primary data</w:t>
            </w:r>
          </w:p>
        </w:tc>
      </w:tr>
      <w:tr>
        <w:tc>
          <w:tcPr>
            <w:tcW w:type="dxa" w:w="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pPr>
            <w:r>
              <w:rPr>
                <w:rFonts w:ascii="Arial" w:cs="Arial" w:eastAsia="Arial" w:hAnsi="Arial"/>
                <w:b w:val="false"/>
                <w:bCs w:val="false"/>
                <w:sz w:val="18"/>
                <w:szCs w:val="18"/>
              </w:rPr>
              <w:t xml:space="preserve">5</w:t>
            </w:r>
          </w:p>
        </w:tc>
        <w:tc>
          <w:tcPr>
            <w:tcW w:type="dxa" w:w="6526"/>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b w:val="false"/>
                <w:bCs w:val="false"/>
                <w:sz w:val="18"/>
                <w:szCs w:val="18"/>
              </w:rPr>
              <w:t xml:space="preserve">Participant Information Sheet (EN + regional)</w:t>
            </w:r>
          </w:p>
        </w:tc>
        <w:tc>
          <w:tcPr>
            <w:tcW w:type="dxa" w:w="19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b w:val="false"/>
                <w:bCs w:val="false"/>
                <w:sz w:val="18"/>
                <w:szCs w:val="18"/>
              </w:rPr>
              <w:t xml:space="preserve">If human participants</w:t>
            </w:r>
          </w:p>
        </w:tc>
      </w:tr>
      <w:tr>
        <w:tc>
          <w:tcPr>
            <w:tcW w:type="dxa" w:w="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pPr>
            <w:r>
              <w:rPr>
                <w:rFonts w:ascii="Arial" w:cs="Arial" w:eastAsia="Arial" w:hAnsi="Arial"/>
                <w:b w:val="false"/>
                <w:bCs w:val="false"/>
                <w:sz w:val="18"/>
                <w:szCs w:val="18"/>
              </w:rPr>
              <w:t xml:space="preserve">6</w:t>
            </w:r>
          </w:p>
        </w:tc>
        <w:tc>
          <w:tcPr>
            <w:tcW w:type="dxa" w:w="6526"/>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b w:val="false"/>
                <w:bCs w:val="false"/>
                <w:sz w:val="18"/>
                <w:szCs w:val="18"/>
              </w:rPr>
              <w:t xml:space="preserve">Informed Consent Form</w:t>
            </w:r>
          </w:p>
        </w:tc>
        <w:tc>
          <w:tcPr>
            <w:tcW w:type="dxa" w:w="19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b w:val="false"/>
                <w:bCs w:val="false"/>
                <w:sz w:val="18"/>
                <w:szCs w:val="18"/>
              </w:rPr>
              <w:t xml:space="preserve">If human participants</w:t>
            </w:r>
          </w:p>
        </w:tc>
      </w:tr>
      <w:tr>
        <w:tc>
          <w:tcPr>
            <w:tcW w:type="dxa" w:w="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pPr>
            <w:r>
              <w:rPr>
                <w:rFonts w:ascii="Arial" w:cs="Arial" w:eastAsia="Arial" w:hAnsi="Arial"/>
                <w:b w:val="false"/>
                <w:bCs w:val="false"/>
                <w:sz w:val="18"/>
                <w:szCs w:val="18"/>
              </w:rPr>
              <w:t xml:space="preserve">7</w:t>
            </w:r>
          </w:p>
        </w:tc>
        <w:tc>
          <w:tcPr>
            <w:tcW w:type="dxa" w:w="6526"/>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b w:val="false"/>
                <w:bCs w:val="false"/>
                <w:sz w:val="18"/>
                <w:szCs w:val="18"/>
              </w:rPr>
              <w:t xml:space="preserve">Organisational Access Permission Letter</w:t>
            </w:r>
          </w:p>
        </w:tc>
        <w:tc>
          <w:tcPr>
            <w:tcW w:type="dxa" w:w="19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b w:val="false"/>
                <w:bCs w:val="false"/>
                <w:sz w:val="18"/>
                <w:szCs w:val="18"/>
              </w:rPr>
              <w:t xml:space="preserve">If organisational data</w:t>
            </w:r>
          </w:p>
        </w:tc>
      </w:tr>
      <w:tr>
        <w:tc>
          <w:tcPr>
            <w:tcW w:type="dxa" w:w="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pPr>
            <w:r>
              <w:rPr>
                <w:rFonts w:ascii="Arial" w:cs="Arial" w:eastAsia="Arial" w:hAnsi="Arial"/>
                <w:b w:val="false"/>
                <w:bCs w:val="false"/>
                <w:sz w:val="18"/>
                <w:szCs w:val="18"/>
              </w:rPr>
              <w:t xml:space="preserve">8</w:t>
            </w:r>
          </w:p>
        </w:tc>
        <w:tc>
          <w:tcPr>
            <w:tcW w:type="dxa" w:w="6526"/>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b w:val="false"/>
                <w:bCs w:val="false"/>
                <w:sz w:val="18"/>
                <w:szCs w:val="18"/>
              </w:rPr>
              <w:t xml:space="preserve">Data Management Plan</w:t>
            </w:r>
          </w:p>
        </w:tc>
        <w:tc>
          <w:tcPr>
            <w:tcW w:type="dxa" w:w="19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b w:val="false"/>
                <w:bCs w:val="false"/>
                <w:sz w:val="18"/>
                <w:szCs w:val="18"/>
              </w:rPr>
              <w:t xml:space="preserve">Mandatory</w:t>
            </w:r>
          </w:p>
        </w:tc>
      </w:tr>
      <w:tr>
        <w:tc>
          <w:tcPr>
            <w:tcW w:type="dxa" w:w="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pPr>
            <w:r>
              <w:rPr>
                <w:rFonts w:ascii="Arial" w:cs="Arial" w:eastAsia="Arial" w:hAnsi="Arial"/>
                <w:b w:val="false"/>
                <w:bCs w:val="false"/>
                <w:sz w:val="18"/>
                <w:szCs w:val="18"/>
              </w:rPr>
              <w:t xml:space="preserve">9</w:t>
            </w:r>
          </w:p>
        </w:tc>
        <w:tc>
          <w:tcPr>
            <w:tcW w:type="dxa" w:w="6526"/>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b w:val="false"/>
                <w:bCs w:val="false"/>
                <w:sz w:val="18"/>
                <w:szCs w:val="18"/>
              </w:rPr>
              <w:t xml:space="preserve">AI Usage Declaration (DREC-03)</w:t>
            </w:r>
          </w:p>
        </w:tc>
        <w:tc>
          <w:tcPr>
            <w:tcW w:type="dxa" w:w="19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b w:val="false"/>
                <w:bCs w:val="false"/>
                <w:sz w:val="18"/>
                <w:szCs w:val="18"/>
              </w:rPr>
              <w:t xml:space="preserve">Mandatory</w:t>
            </w:r>
          </w:p>
        </w:tc>
      </w:tr>
      <w:tr>
        <w:tc>
          <w:tcPr>
            <w:tcW w:type="dxa" w:w="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pPr>
            <w:r>
              <w:rPr>
                <w:rFonts w:ascii="Arial" w:cs="Arial" w:eastAsia="Arial" w:hAnsi="Arial"/>
                <w:b w:val="false"/>
                <w:bCs w:val="false"/>
                <w:sz w:val="18"/>
                <w:szCs w:val="18"/>
              </w:rPr>
              <w:t xml:space="preserve">10</w:t>
            </w:r>
          </w:p>
        </w:tc>
        <w:tc>
          <w:tcPr>
            <w:tcW w:type="dxa" w:w="6526"/>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b w:val="false"/>
                <w:bCs w:val="false"/>
                <w:sz w:val="18"/>
                <w:szCs w:val="18"/>
              </w:rPr>
              <w:t xml:space="preserve">Risk Assessment Form (DREC-04)</w:t>
            </w:r>
          </w:p>
        </w:tc>
        <w:tc>
          <w:tcPr>
            <w:tcW w:type="dxa" w:w="19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b w:val="false"/>
                <w:bCs w:val="false"/>
                <w:sz w:val="18"/>
                <w:szCs w:val="18"/>
              </w:rPr>
              <w:t xml:space="preserve">Mandatory</w:t>
            </w:r>
          </w:p>
        </w:tc>
      </w:tr>
      <w:tr>
        <w:tc>
          <w:tcPr>
            <w:tcW w:type="dxa" w:w="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pPr>
            <w:r>
              <w:rPr>
                <w:rFonts w:ascii="Arial" w:cs="Arial" w:eastAsia="Arial" w:hAnsi="Arial"/>
                <w:b w:val="false"/>
                <w:bCs w:val="false"/>
                <w:sz w:val="18"/>
                <w:szCs w:val="18"/>
              </w:rPr>
              <w:t xml:space="preserve">11</w:t>
            </w:r>
          </w:p>
        </w:tc>
        <w:tc>
          <w:tcPr>
            <w:tcW w:type="dxa" w:w="6526"/>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b w:val="false"/>
                <w:bCs w:val="false"/>
                <w:sz w:val="18"/>
                <w:szCs w:val="18"/>
              </w:rPr>
              <w:t xml:space="preserve">Supervisor's Forwarding Letter</w:t>
            </w:r>
          </w:p>
        </w:tc>
        <w:tc>
          <w:tcPr>
            <w:tcW w:type="dxa" w:w="19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b w:val="false"/>
                <w:bCs w:val="false"/>
                <w:sz w:val="18"/>
                <w:szCs w:val="18"/>
              </w:rPr>
              <w:t xml:space="preserve">Mandatory</w:t>
            </w:r>
          </w:p>
        </w:tc>
      </w:tr>
      <w:tr>
        <w:tc>
          <w:tcPr>
            <w:tcW w:type="dxa" w:w="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pPr>
            <w:r>
              <w:rPr>
                <w:rFonts w:ascii="Arial" w:cs="Arial" w:eastAsia="Arial" w:hAnsi="Arial"/>
                <w:b w:val="false"/>
                <w:bCs w:val="false"/>
                <w:sz w:val="18"/>
                <w:szCs w:val="18"/>
              </w:rPr>
              <w:t xml:space="preserve">12</w:t>
            </w:r>
          </w:p>
        </w:tc>
        <w:tc>
          <w:tcPr>
            <w:tcW w:type="dxa" w:w="6526"/>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b w:val="false"/>
                <w:bCs w:val="false"/>
                <w:sz w:val="18"/>
                <w:szCs w:val="18"/>
              </w:rPr>
              <w:t xml:space="preserve">Conflict of Interest Declaration (DREC-05)</w:t>
            </w:r>
          </w:p>
        </w:tc>
        <w:tc>
          <w:tcPr>
            <w:tcW w:type="dxa" w:w="19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b w:val="false"/>
                <w:bCs w:val="false"/>
                <w:sz w:val="18"/>
                <w:szCs w:val="18"/>
              </w:rPr>
              <w:t xml:space="preserve">Mandatory</w:t>
            </w:r>
          </w:p>
        </w:tc>
      </w:tr>
    </w:tbl>
    <w:p>
      <w:pPr>
        <w:pStyle w:val="Heading1"/>
        <w:spacing w:after="120" w:before="240"/>
      </w:pPr>
      <w:r>
        <w:rPr>
          <w:rFonts w:ascii="Arial" w:cs="Arial" w:eastAsia="Arial" w:hAnsi="Arial"/>
        </w:rPr>
        <w:t xml:space="preserve">3. Triage — Determining the Review Pathway</w:t>
      </w:r>
    </w:p>
    <w:p>
      <w:pPr>
        <w:spacing w:after="120"/>
      </w:pPr>
      <w:r>
        <w:rPr>
          <w:rFonts w:ascii="Arial" w:cs="Arial" w:eastAsia="Arial" w:hAnsi="Arial"/>
          <w:sz w:val="20"/>
          <w:szCs w:val="20"/>
        </w:rPr>
        <w:t xml:space="preserve">On receipt, the Member Secretary classifies each application into one of three pathways using the Triage Tool (Toolkit, Sheet 1) and the logic below. When in doubt, escalate to the higher pathway.</w:t>
      </w:r>
    </w:p>
    <w:p>
      <w:pPr>
        <w:pStyle w:val="Heading2"/>
        <w:spacing w:after="80" w:before="180"/>
      </w:pPr>
      <w:r>
        <w:rPr>
          <w:rFonts w:ascii="Arial" w:cs="Arial" w:eastAsia="Arial" w:hAnsi="Arial"/>
        </w:rPr>
        <w:t xml:space="preserve">3.1 Decision logic (Guideline §2.1, §2.2, §4.3)</w:t>
      </w:r>
    </w:p>
    <w:p>
      <w:pPr>
        <w:pStyle w:val="ListParagraph"/>
        <w:numPr>
          <w:ilvl w:val="0"/>
          <w:numId w:val="3"/>
        </w:numPr>
        <w:spacing w:after="60"/>
      </w:pPr>
      <w:r>
        <w:rPr>
          <w:rFonts w:ascii="Arial" w:cs="Arial" w:eastAsia="Arial" w:hAnsi="Arial"/>
          <w:sz w:val="20"/>
          <w:szCs w:val="20"/>
        </w:rPr>
        <w:t xml:space="preserve">If the study involves NO primary data and NO identifiable personal data (literature review, meta-analysis, bibliometrics, public-domain data) → SELF-DECLARATION (DREC-02), acknowledged by the Member Secretary.</w:t>
      </w:r>
    </w:p>
    <w:p>
      <w:pPr>
        <w:pStyle w:val="ListParagraph"/>
        <w:numPr>
          <w:ilvl w:val="0"/>
          <w:numId w:val="3"/>
        </w:numPr>
        <w:spacing w:after="60"/>
      </w:pPr>
      <w:r>
        <w:rPr>
          <w:rFonts w:ascii="Arial" w:cs="Arial" w:eastAsia="Arial" w:hAnsi="Arial"/>
          <w:sz w:val="20"/>
          <w:szCs w:val="20"/>
        </w:rPr>
        <w:t xml:space="preserve">Else, if the study triggers Category B (sensitive data), C (identifiable secondary data), D (cross-border), or E (dual-use), OR the Risk Assessment rates it more than minimal risk → FULL BOARD REVIEW (quorum incl. External Member; 4–6 weeks).</w:t>
      </w:r>
    </w:p>
    <w:p>
      <w:pPr>
        <w:pStyle w:val="ListParagraph"/>
        <w:numPr>
          <w:ilvl w:val="0"/>
          <w:numId w:val="3"/>
        </w:numPr>
        <w:spacing w:after="60"/>
      </w:pPr>
      <w:r>
        <w:rPr>
          <w:rFonts w:ascii="Arial" w:cs="Arial" w:eastAsia="Arial" w:hAnsi="Arial"/>
          <w:sz w:val="20"/>
          <w:szCs w:val="20"/>
        </w:rPr>
        <w:t xml:space="preserve">Else, if the study is minimal-risk and qualifies for exemption under §2.2 (anonymous surveys, public secondary data, published reports, bibliometric), or is a low-risk Category A study, or a minor amendment → EXPEDITED REVIEW (Chairperson + 2 faculty; 2–3 weeks).</w:t>
      </w:r>
    </w:p>
    <w:p>
      <w:pPr>
        <w:spacing w:after="120"/>
      </w:pPr>
      <w:r>
        <w:rPr>
          <w:rFonts w:ascii="Arial" w:cs="Arial" w:eastAsia="Arial" w:hAnsi="Arial"/>
          <w:i/>
          <w:iCs/>
          <w:color w:val="595959"/>
          <w:sz w:val="20"/>
          <w:szCs w:val="20"/>
        </w:rPr>
        <w:t xml:space="preserve">A license-restricted dataset with no personal identifiers (e.g., PROWESS, Bloomberg under institutional licence) is treated as Expedited. The full visual decision tree accompanies this protocol.</w:t>
      </w:r>
    </w:p>
    <w:p>
      <w:pPr>
        <w:pStyle w:val="Heading1"/>
        <w:spacing w:after="120" w:before="240"/>
      </w:pPr>
      <w:r>
        <w:rPr>
          <w:rFonts w:ascii="Arial" w:cs="Arial" w:eastAsia="Arial" w:hAnsi="Arial"/>
        </w:rPr>
        <w:t xml:space="preserve">4. Completeness Screening</w:t>
      </w:r>
    </w:p>
    <w:p>
      <w:pPr>
        <w:spacing w:after="120"/>
      </w:pPr>
      <w:r>
        <w:rPr>
          <w:rFonts w:ascii="Arial" w:cs="Arial" w:eastAsia="Arial" w:hAnsi="Arial"/>
          <w:sz w:val="20"/>
          <w:szCs w:val="20"/>
        </w:rPr>
        <w:t xml:space="preserve">Before reviewers are assigned, the Member Secretary completes the Submission Checklist (Toolkit, Sheet 2). If any mandatory item is missing, the application is returned to the scholar with a note; the review clock starts only on a complete resubmission.</w:t>
      </w:r>
    </w:p>
    <w:p>
      <w:pPr>
        <w:pStyle w:val="Heading1"/>
        <w:spacing w:after="120" w:before="240"/>
      </w:pPr>
      <w:r>
        <w:rPr>
          <w:rFonts w:ascii="Arial" w:cs="Arial" w:eastAsia="Arial" w:hAnsi="Arial"/>
        </w:rPr>
        <w:t xml:space="preserve">5. Review Pathways, Reviewers &amp; Quorum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4426"/>
        <w:gridCol w:w="2000"/>
      </w:tblGrid>
      <w:tr>
        <w:trPr>
          <w:tblHeader/>
        </w:trPr>
        <w:tc>
          <w:tcPr>
            <w:tcW w:type="dxa" w:w="2600"/>
            <w:tcBorders>
              <w:top w:val="single" w:color="BFBFBF" w:sz="1"/>
              <w:left w:val="single" w:color="BFBFBF" w:sz="1"/>
              <w:bottom w:val="single" w:color="BFBFBF" w:sz="1"/>
              <w:right w:val="single" w:color="BFBFBF" w:sz="1"/>
            </w:tcBorders>
            <w:shd w:fill="2E5496"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Pathway</w:t>
            </w:r>
          </w:p>
        </w:tc>
        <w:tc>
          <w:tcPr>
            <w:tcW w:type="dxa" w:w="4426"/>
            <w:tcBorders>
              <w:top w:val="single" w:color="BFBFBF" w:sz="1"/>
              <w:left w:val="single" w:color="BFBFBF" w:sz="1"/>
              <w:bottom w:val="single" w:color="BFBFBF" w:sz="1"/>
              <w:right w:val="single" w:color="BFBFBF" w:sz="1"/>
            </w:tcBorders>
            <w:shd w:fill="2E5496"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Who reviews</w:t>
            </w:r>
          </w:p>
        </w:tc>
        <w:tc>
          <w:tcPr>
            <w:tcW w:type="dxa" w:w="2000"/>
            <w:tcBorders>
              <w:top w:val="single" w:color="BFBFBF" w:sz="1"/>
              <w:left w:val="single" w:color="BFBFBF" w:sz="1"/>
              <w:bottom w:val="single" w:color="BFBFBF" w:sz="1"/>
              <w:right w:val="single" w:color="BFBFBF" w:sz="1"/>
            </w:tcBorders>
            <w:shd w:fill="2E5496"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Timeline</w:t>
            </w:r>
          </w:p>
        </w:tc>
      </w:tr>
      <w:tr>
        <w:tc>
          <w:tcPr>
            <w:tcW w:type="dxa" w:w="2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pPr>
            <w:r>
              <w:rPr>
                <w:rFonts w:ascii="Arial" w:cs="Arial" w:eastAsia="Arial" w:hAnsi="Arial"/>
                <w:b w:val="false"/>
                <w:bCs w:val="false"/>
                <w:sz w:val="18"/>
                <w:szCs w:val="18"/>
              </w:rPr>
              <w:t xml:space="preserve">Full Board</w:t>
            </w:r>
          </w:p>
        </w:tc>
        <w:tc>
          <w:tcPr>
            <w:tcW w:type="dxa" w:w="4426"/>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b w:val="false"/>
                <w:bCs w:val="false"/>
                <w:sz w:val="18"/>
                <w:szCs w:val="18"/>
              </w:rPr>
              <w:t xml:space="preserve">Quorum of 4 incl. Chairperson or Member Secretary, 2 faculty, and the External Member (mandatory)</w:t>
            </w:r>
          </w:p>
        </w:tc>
        <w:tc>
          <w:tcPr>
            <w:tcW w:type="dxa" w:w="20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b w:val="false"/>
                <w:bCs w:val="false"/>
                <w:sz w:val="18"/>
                <w:szCs w:val="18"/>
              </w:rPr>
              <w:t xml:space="preserve">4–6 weeks</w:t>
            </w:r>
          </w:p>
        </w:tc>
      </w:tr>
      <w:tr>
        <w:tc>
          <w:tcPr>
            <w:tcW w:type="dxa" w:w="2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pPr>
            <w:r>
              <w:rPr>
                <w:rFonts w:ascii="Arial" w:cs="Arial" w:eastAsia="Arial" w:hAnsi="Arial"/>
                <w:b w:val="false"/>
                <w:bCs w:val="false"/>
                <w:sz w:val="18"/>
                <w:szCs w:val="18"/>
              </w:rPr>
              <w:t xml:space="preserve">Expedited</w:t>
            </w:r>
          </w:p>
        </w:tc>
        <w:tc>
          <w:tcPr>
            <w:tcW w:type="dxa" w:w="4426"/>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b w:val="false"/>
                <w:bCs w:val="false"/>
                <w:sz w:val="18"/>
                <w:szCs w:val="18"/>
              </w:rPr>
              <w:t xml:space="preserve">Chairperson + 2 designated faculty</w:t>
            </w:r>
          </w:p>
        </w:tc>
        <w:tc>
          <w:tcPr>
            <w:tcW w:type="dxa" w:w="20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b w:val="false"/>
                <w:bCs w:val="false"/>
                <w:sz w:val="18"/>
                <w:szCs w:val="18"/>
              </w:rPr>
              <w:t xml:space="preserve">2–3 weeks</w:t>
            </w:r>
          </w:p>
        </w:tc>
      </w:tr>
      <w:tr>
        <w:tc>
          <w:tcPr>
            <w:tcW w:type="dxa" w:w="2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pPr>
            <w:r>
              <w:rPr>
                <w:rFonts w:ascii="Arial" w:cs="Arial" w:eastAsia="Arial" w:hAnsi="Arial"/>
                <w:b w:val="false"/>
                <w:bCs w:val="false"/>
                <w:sz w:val="18"/>
                <w:szCs w:val="18"/>
              </w:rPr>
              <w:t xml:space="preserve">Self-Declaration</w:t>
            </w:r>
          </w:p>
        </w:tc>
        <w:tc>
          <w:tcPr>
            <w:tcW w:type="dxa" w:w="4426"/>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b w:val="false"/>
                <w:bCs w:val="false"/>
                <w:sz w:val="18"/>
                <w:szCs w:val="18"/>
              </w:rPr>
              <w:t xml:space="preserve">Member Secretary acknowledgement</w:t>
            </w:r>
          </w:p>
        </w:tc>
        <w:tc>
          <w:tcPr>
            <w:tcW w:type="dxa" w:w="20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b w:val="false"/>
                <w:bCs w:val="false"/>
                <w:sz w:val="18"/>
                <w:szCs w:val="18"/>
              </w:rPr>
              <w:t xml:space="preserve">On receipt</w:t>
            </w:r>
          </w:p>
        </w:tc>
      </w:tr>
    </w:tbl>
    <w:p>
      <w:pPr>
        <w:pStyle w:val="Heading1"/>
        <w:spacing w:after="120" w:before="240"/>
      </w:pPr>
      <w:r>
        <w:rPr>
          <w:rFonts w:ascii="Arial" w:cs="Arial" w:eastAsia="Arial" w:hAnsi="Arial"/>
        </w:rPr>
        <w:t xml:space="preserve">6. Scoring &amp; Decision Mapping</w:t>
      </w:r>
    </w:p>
    <w:p>
      <w:pPr>
        <w:spacing w:after="120"/>
      </w:pPr>
      <w:r>
        <w:rPr>
          <w:rFonts w:ascii="Arial" w:cs="Arial" w:eastAsia="Arial" w:hAnsi="Arial"/>
          <w:sz w:val="20"/>
          <w:szCs w:val="20"/>
        </w:rPr>
        <w:t xml:space="preserve">Each reviewer scores the proposal against the nine criteria (Guideline §4.4) using the Scoring Rubric (Toolkit, Sheet 3). The committee aggregates scores and maps them to one of four decisions: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2700"/>
        <w:gridCol w:w="3426"/>
      </w:tblGrid>
      <w:tr>
        <w:trPr>
          <w:tblHeader/>
        </w:trPr>
        <w:tc>
          <w:tcPr>
            <w:tcW w:type="dxa" w:w="2900"/>
            <w:tcBorders>
              <w:top w:val="single" w:color="BFBFBF" w:sz="1"/>
              <w:left w:val="single" w:color="BFBFBF" w:sz="1"/>
              <w:bottom w:val="single" w:color="BFBFBF" w:sz="1"/>
              <w:right w:val="single" w:color="BFBFBF" w:sz="1"/>
            </w:tcBorders>
            <w:shd w:fill="2E5496"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Rubric outcome</w:t>
            </w:r>
          </w:p>
        </w:tc>
        <w:tc>
          <w:tcPr>
            <w:tcW w:type="dxa" w:w="2700"/>
            <w:tcBorders>
              <w:top w:val="single" w:color="BFBFBF" w:sz="1"/>
              <w:left w:val="single" w:color="BFBFBF" w:sz="1"/>
              <w:bottom w:val="single" w:color="BFBFBF" w:sz="1"/>
              <w:right w:val="single" w:color="BFBFBF" w:sz="1"/>
            </w:tcBorders>
            <w:shd w:fill="2E5496"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DREC decision</w:t>
            </w:r>
          </w:p>
        </w:tc>
        <w:tc>
          <w:tcPr>
            <w:tcW w:type="dxa" w:w="3426"/>
            <w:tcBorders>
              <w:top w:val="single" w:color="BFBFBF" w:sz="1"/>
              <w:left w:val="single" w:color="BFBFBF" w:sz="1"/>
              <w:bottom w:val="single" w:color="BFBFBF" w:sz="1"/>
              <w:right w:val="single" w:color="BFBFBF" w:sz="1"/>
            </w:tcBorders>
            <w:shd w:fill="2E5496"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Next step</w:t>
            </w:r>
          </w:p>
        </w:tc>
      </w:tr>
      <w:tr>
        <w:tc>
          <w:tcPr>
            <w:tcW w:type="dxa" w:w="29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pPr>
            <w:r>
              <w:rPr>
                <w:rFonts w:ascii="Arial" w:cs="Arial" w:eastAsia="Arial" w:hAnsi="Arial"/>
                <w:b w:val="false"/>
                <w:bCs w:val="false"/>
                <w:sz w:val="18"/>
                <w:szCs w:val="18"/>
              </w:rPr>
              <w:t xml:space="preserve">All criteria Met / N/A</w:t>
            </w:r>
          </w:p>
        </w:tc>
        <w:tc>
          <w:tcPr>
            <w:tcW w:type="dxa" w:w="27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b w:val="false"/>
                <w:bCs w:val="false"/>
                <w:sz w:val="18"/>
                <w:szCs w:val="18"/>
              </w:rPr>
              <w:t xml:space="preserve">APPROVED</w:t>
            </w:r>
          </w:p>
        </w:tc>
        <w:tc>
          <w:tcPr>
            <w:tcW w:type="dxa" w:w="3426"/>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b w:val="false"/>
                <w:bCs w:val="false"/>
                <w:sz w:val="18"/>
                <w:szCs w:val="18"/>
              </w:rPr>
              <w:t xml:space="preserve">ECC issued; valid 24 months</w:t>
            </w:r>
          </w:p>
        </w:tc>
      </w:tr>
      <w:tr>
        <w:tc>
          <w:tcPr>
            <w:tcW w:type="dxa" w:w="29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pPr>
            <w:r>
              <w:rPr>
                <w:rFonts w:ascii="Arial" w:cs="Arial" w:eastAsia="Arial" w:hAnsi="Arial"/>
                <w:b w:val="false"/>
                <w:bCs w:val="false"/>
                <w:sz w:val="18"/>
                <w:szCs w:val="18"/>
              </w:rPr>
              <w:t xml:space="preserve">Only Minor revisions</w:t>
            </w:r>
          </w:p>
        </w:tc>
        <w:tc>
          <w:tcPr>
            <w:tcW w:type="dxa" w:w="27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b w:val="false"/>
                <w:bCs w:val="false"/>
                <w:sz w:val="18"/>
                <w:szCs w:val="18"/>
              </w:rPr>
              <w:t xml:space="preserve">APPROVED WITH CONDITIONS</w:t>
            </w:r>
          </w:p>
        </w:tc>
        <w:tc>
          <w:tcPr>
            <w:tcW w:type="dxa" w:w="3426"/>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b w:val="false"/>
                <w:bCs w:val="false"/>
                <w:sz w:val="18"/>
                <w:szCs w:val="18"/>
              </w:rPr>
              <w:t xml:space="preserve">Comply within 15 working days; Member Secretary issues ECC — no fresh board review</w:t>
            </w:r>
          </w:p>
        </w:tc>
      </w:tr>
      <w:tr>
        <w:tc>
          <w:tcPr>
            <w:tcW w:type="dxa" w:w="29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pPr>
            <w:r>
              <w:rPr>
                <w:rFonts w:ascii="Arial" w:cs="Arial" w:eastAsia="Arial" w:hAnsi="Arial"/>
                <w:b w:val="false"/>
                <w:bCs w:val="false"/>
                <w:sz w:val="18"/>
                <w:szCs w:val="18"/>
              </w:rPr>
              <w:t xml:space="preserve">Any Major concern</w:t>
            </w:r>
          </w:p>
        </w:tc>
        <w:tc>
          <w:tcPr>
            <w:tcW w:type="dxa" w:w="27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b w:val="false"/>
                <w:bCs w:val="false"/>
                <w:sz w:val="18"/>
                <w:szCs w:val="18"/>
              </w:rPr>
              <w:t xml:space="preserve">REVISE &amp; RESUBMIT</w:t>
            </w:r>
          </w:p>
        </w:tc>
        <w:tc>
          <w:tcPr>
            <w:tcW w:type="dxa" w:w="3426"/>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b w:val="false"/>
                <w:bCs w:val="false"/>
                <w:sz w:val="18"/>
                <w:szCs w:val="18"/>
              </w:rPr>
              <w:t xml:space="preserve">Substantial revision; re-reviewed within 3 weeks; supervisor certifies</w:t>
            </w:r>
          </w:p>
        </w:tc>
      </w:tr>
      <w:tr>
        <w:tc>
          <w:tcPr>
            <w:tcW w:type="dxa" w:w="29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pPr>
            <w:r>
              <w:rPr>
                <w:rFonts w:ascii="Arial" w:cs="Arial" w:eastAsia="Arial" w:hAnsi="Arial"/>
                <w:b w:val="false"/>
                <w:bCs w:val="false"/>
                <w:sz w:val="18"/>
                <w:szCs w:val="18"/>
              </w:rPr>
              <w:t xml:space="preserve">Irremediable concern</w:t>
            </w:r>
          </w:p>
        </w:tc>
        <w:tc>
          <w:tcPr>
            <w:tcW w:type="dxa" w:w="27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b w:val="false"/>
                <w:bCs w:val="false"/>
                <w:sz w:val="18"/>
                <w:szCs w:val="18"/>
              </w:rPr>
              <w:t xml:space="preserve">REJECTED</w:t>
            </w:r>
          </w:p>
        </w:tc>
        <w:tc>
          <w:tcPr>
            <w:tcW w:type="dxa" w:w="3426"/>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b w:val="false"/>
                <w:bCs w:val="false"/>
                <w:sz w:val="18"/>
                <w:szCs w:val="18"/>
              </w:rPr>
              <w:t xml:space="preserve">Right of appeal within 21 days to HoD-convened panel</w:t>
            </w:r>
          </w:p>
        </w:tc>
      </w:tr>
    </w:tbl>
    <w:p>
      <w:pPr>
        <w:spacing w:after="120"/>
      </w:pPr>
      <w:r>
        <w:rPr>
          <w:rFonts w:ascii="Arial" w:cs="Arial" w:eastAsia="Arial" w:hAnsi="Arial"/>
          <w:i/>
          <w:iCs/>
          <w:sz w:val="20"/>
          <w:szCs w:val="20"/>
        </w:rPr>
        <w:t xml:space="preserve">Decisions are communicated in writing within five working days of the review meeting.</w:t>
      </w:r>
    </w:p>
    <w:p>
      <w:pPr>
        <w:pStyle w:val="Heading1"/>
        <w:spacing w:after="120" w:before="240"/>
      </w:pPr>
      <w:r>
        <w:rPr>
          <w:rFonts w:ascii="Arial" w:cs="Arial" w:eastAsia="Arial" w:hAnsi="Arial"/>
        </w:rPr>
        <w:t xml:space="preserve">7. The Ethical Clearance Certificate (ECC)</w:t>
      </w:r>
    </w:p>
    <w:p>
      <w:pPr>
        <w:spacing w:after="120"/>
      </w:pPr>
      <w:r>
        <w:rPr>
          <w:rFonts w:ascii="Arial" w:cs="Arial" w:eastAsia="Arial" w:hAnsi="Arial"/>
          <w:sz w:val="20"/>
          <w:szCs w:val="20"/>
        </w:rPr>
        <w:t xml:space="preserve">The ECC records the scholar's name and enrolment number, research title, approval date, validity period, any conditions, the DREC reference number, and the signatures of the Chairperson and Member Secretary. The ECC number must be cited in the dissertation methods section and in all journal submissions arising from the research.</w:t>
      </w:r>
    </w:p>
    <w:p>
      <w:pPr>
        <w:pStyle w:val="Heading1"/>
        <w:spacing w:after="120" w:before="240"/>
      </w:pPr>
      <w:r>
        <w:rPr>
          <w:rFonts w:ascii="Arial" w:cs="Arial" w:eastAsia="Arial" w:hAnsi="Arial"/>
        </w:rPr>
        <w:t xml:space="preserve">8. Transparency, Public Defensibility &amp; Record-Keeping</w:t>
      </w:r>
    </w:p>
    <w:p>
      <w:pPr>
        <w:spacing w:after="120"/>
      </w:pPr>
      <w:r>
        <w:rPr>
          <w:rFonts w:ascii="Arial" w:cs="Arial" w:eastAsia="Arial" w:hAnsi="Arial"/>
          <w:sz w:val="20"/>
          <w:szCs w:val="20"/>
        </w:rPr>
        <w:t xml:space="preserve">To make decisions defensible to scholars, examiners, and journals, the DREC maintains two parallel records:</w:t>
      </w:r>
    </w:p>
    <w:p>
      <w:pPr>
        <w:pStyle w:val="ListParagraph"/>
        <w:numPr>
          <w:ilvl w:val="0"/>
          <w:numId w:val="2"/>
        </w:numPr>
        <w:spacing w:after="60"/>
      </w:pPr>
      <w:r>
        <w:rPr>
          <w:rFonts w:ascii="Arial" w:cs="Arial" w:eastAsia="Arial" w:hAnsi="Arial"/>
          <w:sz w:val="20"/>
          <w:szCs w:val="20"/>
        </w:rPr>
        <w:t xml:space="preserve">Public Decisions Register (anonymised) — Toolkit, Sheet 4. Posted on the departmental notice board, it records the reference number, area, category, pathway, decision, conditions summary, ECC number, and validity. It contains no personal identifiers. This is the record relied on for transparency and audit (Guideline §1.3).</w:t>
      </w:r>
    </w:p>
    <w:p>
      <w:pPr>
        <w:pStyle w:val="ListParagraph"/>
        <w:numPr>
          <w:ilvl w:val="0"/>
          <w:numId w:val="2"/>
        </w:numPr>
        <w:spacing w:after="60"/>
      </w:pPr>
      <w:r>
        <w:rPr>
          <w:rFonts w:ascii="Arial" w:cs="Arial" w:eastAsia="Arial" w:hAnsi="Arial"/>
          <w:sz w:val="20"/>
          <w:szCs w:val="20"/>
        </w:rPr>
        <w:t xml:space="preserve">Confidential DREC File — the full signed application, completed rubrics, minutes, and the ECC, retained securely by the Member Secretary. Access is restricted to DREC members and authorised auditors.</w:t>
      </w:r>
    </w:p>
    <w:p>
      <w:pPr>
        <w:pStyle w:val="Heading2"/>
        <w:spacing w:after="80" w:before="180"/>
      </w:pPr>
      <w:r>
        <w:rPr>
          <w:rFonts w:ascii="Arial" w:cs="Arial" w:eastAsia="Arial" w:hAnsi="Arial"/>
        </w:rPr>
        <w:t xml:space="preserve">8.1 Safeguards that make a decision defensible</w:t>
      </w:r>
    </w:p>
    <w:p>
      <w:pPr>
        <w:pStyle w:val="ListParagraph"/>
        <w:numPr>
          <w:ilvl w:val="0"/>
          <w:numId w:val="2"/>
        </w:numPr>
        <w:spacing w:after="60"/>
      </w:pPr>
      <w:r>
        <w:rPr>
          <w:rFonts w:ascii="Arial" w:cs="Arial" w:eastAsia="Arial" w:hAnsi="Arial"/>
          <w:sz w:val="20"/>
          <w:szCs w:val="20"/>
        </w:rPr>
        <w:t xml:space="preserve">Reasoned decisions: every decision is supported by the completed rubric and minuted reasons, not a bare verdict.</w:t>
      </w:r>
    </w:p>
    <w:p>
      <w:pPr>
        <w:pStyle w:val="ListParagraph"/>
        <w:numPr>
          <w:ilvl w:val="0"/>
          <w:numId w:val="2"/>
        </w:numPr>
        <w:spacing w:after="60"/>
      </w:pPr>
      <w:r>
        <w:rPr>
          <w:rFonts w:ascii="Arial" w:cs="Arial" w:eastAsia="Arial" w:hAnsi="Arial"/>
          <w:sz w:val="20"/>
          <w:szCs w:val="20"/>
        </w:rPr>
        <w:t xml:space="preserve">Consistency: the shared rubric and triage tool ensure like cases are treated alike; the register lets the committee check its own consistency over time.</w:t>
      </w:r>
    </w:p>
    <w:p>
      <w:pPr>
        <w:pStyle w:val="ListParagraph"/>
        <w:numPr>
          <w:ilvl w:val="0"/>
          <w:numId w:val="2"/>
        </w:numPr>
        <w:spacing w:after="60"/>
      </w:pPr>
      <w:r>
        <w:rPr>
          <w:rFonts w:ascii="Arial" w:cs="Arial" w:eastAsia="Arial" w:hAnsi="Arial"/>
          <w:sz w:val="20"/>
          <w:szCs w:val="20"/>
        </w:rPr>
        <w:t xml:space="preserve">Conflict-of-interest recusal: any member with an interest in a proposal (e.g., the supervisor) declares it and recuses from that review; this is minuted.</w:t>
      </w:r>
    </w:p>
    <w:p>
      <w:pPr>
        <w:pStyle w:val="ListParagraph"/>
        <w:numPr>
          <w:ilvl w:val="0"/>
          <w:numId w:val="2"/>
        </w:numPr>
        <w:spacing w:after="60"/>
      </w:pPr>
      <w:r>
        <w:rPr>
          <w:rFonts w:ascii="Arial" w:cs="Arial" w:eastAsia="Arial" w:hAnsi="Arial"/>
          <w:sz w:val="20"/>
          <w:szCs w:val="20"/>
        </w:rPr>
        <w:t xml:space="preserve">Right of reply and appeal: scholars receive written reasons and may appeal a Rejection or Revise-and-Resubmit within 21 days to an ad hoc panel convened by the Head of Department, including a member not previously involved and the External Member; the panel decides within 30 days.</w:t>
      </w:r>
    </w:p>
    <w:p>
      <w:pPr>
        <w:pStyle w:val="ListParagraph"/>
        <w:numPr>
          <w:ilvl w:val="0"/>
          <w:numId w:val="2"/>
        </w:numPr>
        <w:spacing w:after="60"/>
      </w:pPr>
      <w:r>
        <w:rPr>
          <w:rFonts w:ascii="Arial" w:cs="Arial" w:eastAsia="Arial" w:hAnsi="Arial"/>
          <w:sz w:val="20"/>
          <w:szCs w:val="20"/>
        </w:rPr>
        <w:t xml:space="preserve">Whistleblower protection: good-faith reports of misconduct are received in confidence and the reporter is protected from retaliation (Guideline §6.3).</w:t>
      </w:r>
    </w:p>
    <w:p>
      <w:pPr>
        <w:pStyle w:val="ListParagraph"/>
        <w:numPr>
          <w:ilvl w:val="0"/>
          <w:numId w:val="2"/>
        </w:numPr>
        <w:spacing w:after="60"/>
      </w:pPr>
      <w:r>
        <w:rPr>
          <w:rFonts w:ascii="Arial" w:cs="Arial" w:eastAsia="Arial" w:hAnsi="Arial"/>
          <w:sz w:val="20"/>
          <w:szCs w:val="20"/>
        </w:rPr>
        <w:t xml:space="preserve">Retention: records are retained for at least five years after the PhD award to support replication and audit; personal data is then securely destroyed.</w:t>
      </w:r>
    </w:p>
    <w:p>
      <w:pPr>
        <w:pStyle w:val="Heading1"/>
        <w:spacing w:after="120" w:before="240"/>
      </w:pPr>
      <w:r>
        <w:rPr>
          <w:rFonts w:ascii="Arial" w:cs="Arial" w:eastAsia="Arial" w:hAnsi="Arial"/>
        </w:rPr>
        <w:t xml:space="preserve">9. Suggested Agenda for the First Meeting</w:t>
      </w:r>
    </w:p>
    <w:p>
      <w:pPr>
        <w:pStyle w:val="ListParagraph"/>
        <w:numPr>
          <w:ilvl w:val="0"/>
          <w:numId w:val="3"/>
        </w:numPr>
        <w:spacing w:after="60"/>
      </w:pPr>
      <w:r>
        <w:rPr>
          <w:rFonts w:ascii="Arial" w:cs="Arial" w:eastAsia="Arial" w:hAnsi="Arial"/>
          <w:sz w:val="20"/>
          <w:szCs w:val="20"/>
        </w:rPr>
        <w:t xml:space="preserve">Adopt this protocol, the Forms Compendium, and the Evaluation Toolkit as the DREC's standard instruments.</w:t>
      </w:r>
    </w:p>
    <w:p>
      <w:pPr>
        <w:pStyle w:val="ListParagraph"/>
        <w:numPr>
          <w:ilvl w:val="0"/>
          <w:numId w:val="3"/>
        </w:numPr>
        <w:spacing w:after="60"/>
      </w:pPr>
      <w:r>
        <w:rPr>
          <w:rFonts w:ascii="Arial" w:cs="Arial" w:eastAsia="Arial" w:hAnsi="Arial"/>
          <w:sz w:val="20"/>
          <w:szCs w:val="20"/>
        </w:rPr>
        <w:t xml:space="preserve">Confirm composition, tenures, and quorum; record conflict-of-interest declarations.</w:t>
      </w:r>
    </w:p>
    <w:p>
      <w:pPr>
        <w:pStyle w:val="ListParagraph"/>
        <w:numPr>
          <w:ilvl w:val="0"/>
          <w:numId w:val="3"/>
        </w:numPr>
        <w:spacing w:after="60"/>
      </w:pPr>
      <w:r>
        <w:rPr>
          <w:rFonts w:ascii="Arial" w:cs="Arial" w:eastAsia="Arial" w:hAnsi="Arial"/>
          <w:sz w:val="20"/>
          <w:szCs w:val="20"/>
        </w:rPr>
        <w:t xml:space="preserve">Triage each submitted application (Toolkit Sheet 1) and run the completeness check (Sheet 2).</w:t>
      </w:r>
    </w:p>
    <w:p>
      <w:pPr>
        <w:pStyle w:val="ListParagraph"/>
        <w:numPr>
          <w:ilvl w:val="0"/>
          <w:numId w:val="3"/>
        </w:numPr>
        <w:spacing w:after="60"/>
      </w:pPr>
      <w:r>
        <w:rPr>
          <w:rFonts w:ascii="Arial" w:cs="Arial" w:eastAsia="Arial" w:hAnsi="Arial"/>
          <w:sz w:val="20"/>
          <w:szCs w:val="20"/>
        </w:rPr>
        <w:t xml:space="preserve">Assign reviewers per pathway; schedule Full Board reviews with the External Member.</w:t>
      </w:r>
    </w:p>
    <w:p>
      <w:pPr>
        <w:pStyle w:val="ListParagraph"/>
        <w:numPr>
          <w:ilvl w:val="0"/>
          <w:numId w:val="3"/>
        </w:numPr>
        <w:spacing w:after="60"/>
      </w:pPr>
      <w:r>
        <w:rPr>
          <w:rFonts w:ascii="Arial" w:cs="Arial" w:eastAsia="Arial" w:hAnsi="Arial"/>
          <w:sz w:val="20"/>
          <w:szCs w:val="20"/>
        </w:rPr>
        <w:t xml:space="preserve">Score ready proposals (Sheet 3); record every decision in the Public Decisions Register (Sheet 4).</w:t>
      </w:r>
    </w:p>
    <w:p>
      <w:pPr>
        <w:pStyle w:val="ListParagraph"/>
        <w:numPr>
          <w:ilvl w:val="0"/>
          <w:numId w:val="3"/>
        </w:numPr>
        <w:spacing w:after="60"/>
      </w:pPr>
      <w:r>
        <w:rPr>
          <w:rFonts w:ascii="Arial" w:cs="Arial" w:eastAsia="Arial" w:hAnsi="Arial"/>
          <w:sz w:val="20"/>
          <w:szCs w:val="20"/>
        </w:rPr>
        <w:t xml:space="preserve">Set the next meeting date and the recurring submission/review calendar (targeting Week 9 / Week 15 of Semester II).</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5"/>
        <w:szCs w:val="15"/>
      </w:rPr>
      <w:t xml:space="preserve">Version 1.0  |  Page </w:t>
    </w:r>
    <w:r>
      <w:rPr>
        <w:rFonts w:ascii="Arial" w:cs="Arial" w:eastAsia="Arial" w:hAnsi="Arial"/>
        <w:color w:val="8080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496" w:sz="4" w:space="2"/>
      </w:pBdr>
      <w:spacing w:after="60"/>
    </w:pPr>
    <w:r>
      <w:rPr>
        <w:rFonts w:ascii="Arial" w:cs="Arial" w:eastAsia="Arial" w:hAnsi="Arial"/>
        <w:color w:val="808080"/>
        <w:sz w:val="15"/>
        <w:szCs w:val="15"/>
      </w:rPr>
      <w:t xml:space="preserve">DREC Standard Operating Protocol — Department of Commerce, University of Delhi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26"/>
      <w:szCs w:val="26"/>
    </w:rPr>
  </w:style>
  <w:style w:type="paragraph" w:styleId="Heading2">
    <w:name w:val="Heading 2"/>
    <w:basedOn w:val="Normal"/>
    <w:next w:val="Normal"/>
    <w:qFormat/>
    <w:pPr>
      <w:spacing w:after="80" w:before="160"/>
      <w:outlineLvl w:val="1"/>
    </w:pPr>
    <w:rPr>
      <w:rFonts w:ascii="Arial" w:cs="Arial" w:eastAsia="Arial" w:hAnsi="Arial"/>
      <w:b/>
      <w:bCs/>
      <w:color w:val="2E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2026-05-23T23:14:07.282Z</dcterms:created>
  <dcterms:modified xsi:type="dcterms:W3CDTF">2026-05-23T23:14:07.283Z</dcterms:modified>
</cp:coreProperties>
</file>

<file path=docProps/custom.xml><?xml version="1.0" encoding="utf-8"?>
<Properties xmlns="http://schemas.openxmlformats.org/officeDocument/2006/custom-properties" xmlns:vt="http://schemas.openxmlformats.org/officeDocument/2006/docPropsVTypes"/>
</file>