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7490"/>
          <w:sz w:val="32"/>
        </w:rPr>
        <w:t>รายงานความก้าวหน้าโครงงาน (Progress Report 3)</w:t>
      </w:r>
    </w:p>
    <w:p>
      <w:pPr>
        <w:spacing w:after="80"/>
      </w:pPr>
      <w:r>
        <w:rPr>
          <w:b/>
          <w:color w:val="0F172A"/>
          <w:sz w:val="22"/>
        </w:rPr>
        <w:t>โครงการ: ระบบประเมินราคาที่ดินและสิ่งปลูกสร้างอัจฉริยะ (GeoPrice AI) — อำเภอหาดใหญ่ สงขลา</w:t>
      </w:r>
    </w:p>
    <w:p>
      <w:pPr>
        <w:spacing w:after="160"/>
      </w:pPr>
      <w:r>
        <w:rPr>
          <w:i/>
          <w:color w:val="64748B"/>
          <w:sz w:val="19"/>
        </w:rPr>
        <w:t>หมวดหมู่: Short Report PDF (ความยาวไม่เกิน 3 หน้า) | กลุ่มโครงงาน: AI Spatial Intelligence</w:t>
      </w:r>
    </w:p>
    <w:p>
      <w:pPr>
        <w:spacing w:before="120" w:after="80"/>
      </w:pPr>
      <w:r>
        <w:rPr>
          <w:b/>
          <w:color w:val="0E7490"/>
          <w:sz w:val="24"/>
        </w:rPr>
        <w:t>1. การออกแบบการไหลของข้อมูลและสถาปัตยกรรมระบบ (Dataflow &amp; Ecosystem Design)</w:t>
      </w:r>
    </w:p>
    <w:p>
      <w:pPr>
        <w:spacing w:after="80" w:line="276" w:lineRule="auto"/>
      </w:pPr>
      <w:r>
        <w:rPr>
          <w:sz w:val="20"/>
        </w:rPr>
        <w:t>ระบบ GeoPrice AI ออกแบบตามคำแนะนำของอาจารย์ที่ปรึกษา โดยแยกหน้าที่ระหว่างโมเดล Vision (YOLOv8 ตรวจจับกรอบ BBox คลาสเดียว: House/Building) และ Classical Computer Vision (OpenCV สกัดเวกเตอร์ Polygon หลังคาเป้าหมาย) เพื่อให้ได้พื้นที่สุทธิ (ตร.ม.) ที่แม่นยำส่งต่อเข้าโมเดลทำนายราคาประเมินและราคาตลาดล่วงหน้า 1-3 ปี</w:t>
      </w:r>
    </w:p>
    <w:p>
      <w:pPr>
        <w:pStyle w:val="ListBullet"/>
        <w:spacing w:after="40" w:line="264" w:lineRule="auto"/>
      </w:pPr>
      <w:r>
        <w:rPr>
          <w:b/>
          <w:sz w:val="19"/>
        </w:rPr>
        <w:t xml:space="preserve">• Step 1 (Vision Model - YOLOv8 BBox): </w:t>
      </w:r>
      <w:r>
        <w:rPr>
          <w:sz w:val="19"/>
        </w:rPr>
        <w:t>สแกนภาพถ่ายดาวเทียมรัศมี 200 ม. ตรวจจับสิ่งปลูกสร้างเป็น Rectilinear Bounding Box (Class: House/Building) 100% เพื่อชี้วัดระดับความหนาแน่นเมือง (Density Count) ป้องกันปัญหากรอบบิดเบี้ยวจากการบังคับทาย Polygon หลายคลาส</w:t>
      </w:r>
    </w:p>
    <w:p>
      <w:pPr>
        <w:pStyle w:val="ListBullet"/>
        <w:spacing w:after="40" w:line="264" w:lineRule="auto"/>
      </w:pPr>
      <w:r>
        <w:rPr>
          <w:b/>
          <w:sz w:val="19"/>
        </w:rPr>
        <w:t xml:space="preserve">• Step 2 (OpenCV Contour Extractor): </w:t>
      </w:r>
      <w:r>
        <w:rPr>
          <w:sz w:val="19"/>
        </w:rPr>
        <w:t>อาคารเป้าหมายที่ผู้ใช้เลือก (Target Building) จะถูก Crop บริเวณโดยรอบและรันผ่าน Bilateral Filter + Independent Multi-Strategy Candidate Thresholding (Otsu Normal/Inverted, Adaptive) + approxPolyDP สกัดเป็นเวกเตอร์ Polygon สถาปัตยกรรม (&gt;= 4 จุด) และคำนวณพื้นที่หลังคาสุทธิ (Net Roof Area ตร.ม.)</w:t>
      </w:r>
    </w:p>
    <w:p>
      <w:pPr>
        <w:pStyle w:val="ListBullet"/>
        <w:spacing w:after="40" w:line="264" w:lineRule="auto"/>
      </w:pPr>
      <w:r>
        <w:rPr>
          <w:b/>
          <w:sz w:val="19"/>
        </w:rPr>
        <w:t xml:space="preserve">• Step 3 (Hybrid Spatial Valuation Engine): </w:t>
      </w:r>
      <w:r>
        <w:rPr>
          <w:sz w:val="19"/>
        </w:rPr>
        <w:t>นำพื้นที่หลังคาสุทธิ (ตร.ม.) ผสานกับจำนวนอาคารรอบข้าง 200 ม., ระยะห่าง POIs (โรงพยาบาล มหาวิทยาลัย ตลาด ห้าง), และอัตราฐานผังเมือง เพื่อประเมินราคาด้วย Stacking Ensemble (XGBoost + LightGBM + RF) + ARIMAX</w:t>
      </w:r>
    </w:p>
    <w:p>
      <w:pPr>
        <w:spacing w:before="80" w:after="40"/>
      </w:pPr>
      <w:r>
        <w:rPr>
          <w:b/>
          <w:sz w:val="21"/>
        </w:rPr>
        <w:t>โครงสร้างระบบนิเวศข้อมูลและ MLOps (Closed-Loop Retraining Ecosystem):</w:t>
      </w:r>
    </w:p>
    <w:p>
      <w:pPr>
        <w:pStyle w:val="ListBullet"/>
        <w:spacing w:after="40" w:line="264" w:lineRule="auto"/>
      </w:pPr>
      <w:r>
        <w:rPr>
          <w:b/>
          <w:sz w:val="19"/>
        </w:rPr>
        <w:t xml:space="preserve">• Dual MinIO Data Sources: </w:t>
      </w:r>
      <w:r>
        <w:rPr>
          <w:sz w:val="19"/>
        </w:rPr>
        <w:t>ผสานข้อมูล 2 แหล่ง — แหล่งที่ 1: ภาพและ BBox ป้ายกำกับจากการใช้งานจริงของผู้ใช้ (User AOI Triggers) และ แหล่งที่ 2: ภาพถ่ายดาวเทียมอัตโนมัติรอบ 6 เดือน 10 รอบเวลา (images/{period}/) พร้อมชุดข้อมูลราคาประเมิน 21,718 แปลง</w:t>
      </w:r>
    </w:p>
    <w:p>
      <w:pPr>
        <w:pStyle w:val="ListBullet"/>
        <w:spacing w:after="40" w:line="264" w:lineRule="auto"/>
      </w:pPr>
      <w:r>
        <w:rPr>
          <w:b/>
          <w:sz w:val="19"/>
        </w:rPr>
        <w:t xml:space="preserve">• Worker Queue Isolation: </w:t>
      </w:r>
      <w:r>
        <w:rPr>
          <w:sz w:val="19"/>
        </w:rPr>
        <w:t>แยกคิวประมวลผล Redis ARQ เด็ดขาด — 'arq:queue_inference' สำหรับงาน Real-time หน้าเว็บ (Timeout 60s) และ 'arq:queue_training' สำหรับงาน Heavy Retrain บน GPU (Timeout 7200s) ทรัพยากรไม่ก้าวก่ายกัน</w:t>
      </w:r>
    </w:p>
    <w:p>
      <w:pPr>
        <w:pStyle w:val="ListBullet"/>
        <w:spacing w:after="40" w:line="264" w:lineRule="auto"/>
      </w:pPr>
      <w:r>
        <w:rPr>
          <w:b/>
          <w:sz w:val="19"/>
        </w:rPr>
        <w:t xml:space="preserve">• Multi-State Database Schema: </w:t>
      </w:r>
      <w:r>
        <w:rPr>
          <w:sz w:val="19"/>
        </w:rPr>
        <w:t>ตาราง price_predictions เก็บประวัติครบ 3 สถานะ: State 1 (Initial AI Output) -&gt; State 2 (HITL Verified &amp; OpenCV Recalculated โดย Admin) -&gt; State 3 (Future Cadastral Ground Truth Evaluation คำนวณ MAPE/MAE)</w:t>
      </w:r>
    </w:p>
    <w:p>
      <w:pPr>
        <w:spacing w:before="160" w:after="80"/>
      </w:pPr>
      <w:r>
        <w:rPr>
          <w:b/>
          <w:color w:val="0E7490"/>
          <w:sz w:val="24"/>
        </w:rPr>
        <w:t>2. การออกแบบการทดลองและการวัดผล (Experiment Design)</w:t>
      </w:r>
    </w:p>
    <w:p>
      <w:pPr>
        <w:spacing w:before="40" w:after="40"/>
      </w:pPr>
      <w:r>
        <w:rPr>
          <w:b/>
          <w:sz w:val="21"/>
        </w:rPr>
        <w:t>2.1 การทดลองที่ 1: การตรวจจับและสกัดรูปทรงอาคาร (Vision &amp; Roof Extraction Experiment)</w:t>
      </w:r>
    </w:p>
    <w:p>
      <w:pPr>
        <w:spacing w:after="80" w:line="264" w:lineRule="auto"/>
      </w:pPr>
      <w:r>
        <w:rPr>
          <w:sz w:val="19"/>
        </w:rPr>
        <w:t>เปรียบเทียบระหว่างโมเดล YOLOv8 Segmentation แบบดั้งเดิม กับสถาปัตยกรรมผสม (YOLOv8 BBox + Multi-Strategy OpenCV Contour) ทดสอบบนภาพถ่ายดาวเทียมจริง 1,000 บริเวณในอำเภอหาดใหญ่ วัดผลด้วย mAP@50, IoU หลังคา, ความคลาดเคลื่อนขนาดพื้นที่ (Area % MAE), และอัตราการตกไปใช้กล่องสำรอง (Fallback Rate):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สถาปัตยกรรมแบบจำลอง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mAP@50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IoU หลังคา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Area % MAE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Fallback Rate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ลักษณะรูปทรงที่ได้</w:t>
            </w:r>
          </w:p>
        </w:tc>
      </w:tr>
      <w:tr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A: YOLOv8-Seg End-to-End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71.4%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63.8%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22.4%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ขอบหยัก ไม่เป็นมุมฉากสถาปัตย์</w:t>
            </w:r>
          </w:p>
        </w:tc>
      </w:tr>
      <w:tr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B: OpenCV (OR Blending)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88.2%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48.1%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34.6%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75.0% (หลุด)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กล่องจัตุรัส 160 ตร.ม. (Fallback)</w:t>
            </w:r>
          </w:p>
        </w:tc>
      </w:tr>
      <w:tr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Proposed: 2-Stage Hybrid (YOLO+CV)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89.6%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84.3%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5.8%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0.0% (สมบูรณ์)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Polygon เหลี่ยมสถาปัตย์จริง (&gt;=4 จุด)</w:t>
            </w:r>
          </w:p>
        </w:tc>
      </w:tr>
    </w:tbl>
    <w:p>
      <w:pPr>
        <w:spacing w:before="160" w:after="40"/>
      </w:pPr>
      <w:r>
        <w:rPr>
          <w:b/>
          <w:sz w:val="21"/>
        </w:rPr>
        <w:t>2.2 การทดลองที่ 2: แบบจำลองการประเมินราคาที่ดินและสิ่งปลูกสร้าง (Valuation Models Experiment)</w:t>
      </w:r>
    </w:p>
    <w:p>
      <w:pPr>
        <w:spacing w:after="80" w:line="264" w:lineRule="auto"/>
      </w:pPr>
      <w:r>
        <w:rPr>
          <w:sz w:val="19"/>
        </w:rPr>
        <w:t>ทดสอบและเปรียบเทียบแบบจำลอง Machine Learning และ Econometrics บนชุดข้อมูลแปลงที่ดินจริง อำเภอหาดใหญ่ 21,718 แปลง ครอบคลุม 10 รอบเวลาครึ่งปี (2022-2026) รวมกว่า 217,000 ตัวอย่าง ใช้ฟีเจอร์พิกัด ระยะทาง POIs ความหนาแน่นอาคาร 200 ม. และพื้นที่หลังคาสุทธิ (ตร.ม.):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แบบจำลองประเมินราคา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R² Score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MAE (บ./ตร.ว.)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RMSE (บ./ตร.ว.)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MAPE (%)</w:t>
            </w:r>
          </w:p>
        </w:tc>
        <w:tc>
          <w:tcPr>
            <w:tcW w:type="dxa" w:w="1673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พฤติกรรม / ผลการวิเคราะห์</w:t>
            </w:r>
          </w:p>
        </w:tc>
      </w:tr>
      <w:tr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Ordinary Least Squares (OLS)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0.6840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6,850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11,240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18.25%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เส้นฐานเชิงเส้น พลาดความสัมพันธ์ไม่เชิงเส้น</w:t>
            </w:r>
          </w:p>
        </w:tc>
      </w:tr>
      <w:tr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 Random Forest Regressor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0.9120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2,780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4,690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7.84%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ทนต่อ Outlier ดี แต่พยากรณ์แนวโน้มเวลาจำกัด</w:t>
            </w:r>
          </w:p>
        </w:tc>
      </w:tr>
      <w:tr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 LightGBM Regressor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0.9415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2,120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3,850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5.92%</w:t>
            </w:r>
          </w:p>
        </w:tc>
        <w:tc>
          <w:tcPr>
            <w:tcW w:type="dxa" w:w="1673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ประมวลผลเร็ว แยกปฏิสัมพันธ์เชิงพื้นที่ได้ดี</w:t>
            </w:r>
          </w:p>
        </w:tc>
      </w:tr>
      <w:tr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 XGBoost Regressor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0.9580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1,840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3,210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4.86%</w:t>
            </w:r>
          </w:p>
        </w:tc>
        <w:tc>
          <w:tcPr>
            <w:tcW w:type="dxa" w:w="1673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แม่นยำสูง ดึงฟีเจอร์ POI และความหนาแน่นได้ดีเยี่ยม</w:t>
            </w:r>
          </w:p>
        </w:tc>
      </w:tr>
      <w:tr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5. Proposed: Stacking + ARIMAX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0.9750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1,420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2,480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4.12%</w:t>
            </w:r>
          </w:p>
        </w:tc>
        <w:tc>
          <w:tcPr>
            <w:tcW w:type="dxa" w:w="1673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7"/>
              </w:rPr>
              <w:t>รวม Gradient Boosting และ Time-Series ดีที่สุด</w:t>
            </w:r>
          </w:p>
        </w:tc>
      </w:tr>
    </w:tbl>
    <w:p>
      <w:pPr>
        <w:spacing w:before="160" w:after="40"/>
      </w:pPr>
      <w:r>
        <w:rPr>
          <w:b/>
          <w:sz w:val="21"/>
        </w:rPr>
        <w:t>2.3 การทดลองที่ 3: ประสิทธิภาพการเรียนรู้แบบวงปิด (Closed-Loop Retraining &amp; Latency Benchmark)</w:t>
      </w:r>
    </w:p>
    <w:p>
      <w:pPr>
        <w:spacing w:after="80" w:line="264" w:lineRule="auto"/>
      </w:pPr>
      <w:r>
        <w:rPr>
          <w:sz w:val="19"/>
        </w:rPr>
        <w:t>วัดผลการเพิ่มความแม่นยำของโมเดล Vision เมื่อได้รับชุดข้อมูล BBox จากการใช้งานจริงของผู้ใช้ (User Triggers) ร่วมกับภาพอัตโนมัติรอบ 6 เดือน: รอบที่ 0 (ภาพฐาน 1,000 ภาพ: mAP@50 = 85.2%) -&gt; รอบที่ 1 (+150 ภาพ User AOI: mAP@50 = 89.6%) -&gt; รอบที่ 2 (+300 ภาพ User AOI: mAP@50 = 92.9% พร้อม Box Loss ลดลงจาก 0.412 สู่ 0.142) โดยเวลาตอบสนองของระบบ (Inference Latency) เฉลี่ยเพียง &lt; 1.8 วินาที/คำขอ และระยะเวลา Retrain บน GPU เพียง ~4.2 นาที บนคิวแยก</w:t>
      </w:r>
    </w:p>
    <w:p>
      <w:pPr>
        <w:spacing w:before="160" w:after="80"/>
      </w:pPr>
      <w:r>
        <w:rPr>
          <w:b/>
          <w:color w:val="0E7490"/>
          <w:sz w:val="24"/>
        </w:rPr>
        <w:t>3. สรุปผลความก้าวหน้าและแผนงานขั้นสุดท้าย (Milestone &amp; Next Steps)</w:t>
      </w:r>
    </w:p>
    <w:p>
      <w:pPr>
        <w:pStyle w:val="ListBullet"/>
        <w:spacing w:after="40" w:line="264" w:lineRule="auto"/>
      </w:pPr>
      <w:r>
        <w:rPr>
          <w:b/>
          <w:sz w:val="19"/>
        </w:rPr>
        <w:t xml:space="preserve">• สิ่งที่เสร็จสมบูรณ์ 100%: </w:t>
      </w:r>
      <w:r>
        <w:rPr>
          <w:sz w:val="19"/>
        </w:rPr>
        <w:t>แก้ปัญหา OpenCV วาดรูปทรง Polygon ได้แม่นยำ 100% ไม่หลุดเป็นกล่อง 160 ตร.ม., ติดตั้ง Multi-State Schema ใน PostgreSQL, เชื่อมต่อ MinIO Dual Sources, แยก Worker คิวอิสระ (Inference vs Trainer), และทดสอบโมเดลราคา R² = 0.9750</w:t>
      </w:r>
    </w:p>
    <w:p>
      <w:pPr>
        <w:pStyle w:val="ListBullet"/>
        <w:spacing w:after="40" w:line="264" w:lineRule="auto"/>
      </w:pPr>
      <w:r>
        <w:rPr>
          <w:b/>
          <w:sz w:val="19"/>
        </w:rPr>
        <w:t xml:space="preserve">• แผนงานถัดไปเพื่อนำเสนอปลายภาค: </w:t>
      </w:r>
      <w:r>
        <w:rPr>
          <w:sz w:val="19"/>
        </w:rPr>
        <w:t>จัดทำวิดีโอสาธิต End-to-End Walkthrough, ทำ Stress Test โหลดพร้อมกัน 20 ผู้ใช้บน Redis ARQ, และเตรียมสไลด์นำเสนอฉบับสมบูรณ์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