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left"/>
      </w:pPr>
      <w:r>
        <w:rPr>
          <w:rFonts w:ascii="Arial" w:cs="Arial" w:eastAsia="Arial" w:hAnsi="Arial"/>
          <w:b/>
          <w:bCs/>
          <w:color w:val="006B8C"/>
          <w:spacing w:val="80"/>
          <w:sz w:val="22"/>
          <w:szCs w:val="22"/>
        </w:rPr>
        <w:t xml:space="preserve">CITY OF HARBORVIEW, PA</w:t>
      </w:r>
    </w:p>
    <w:p>
      <w:pPr>
        <w:spacing w:after="120" w:before="0"/>
      </w:pPr>
      <w:r>
        <w:rPr>
          <w:rFonts w:ascii="Arial" w:cs="Arial" w:eastAsia="Arial" w:hAnsi="Arial"/>
          <w:color w:val="4A5568"/>
          <w:sz w:val="20"/>
          <w:szCs w:val="20"/>
        </w:rPr>
        <w:t xml:space="preserve">Office of Innovation &amp; Technology</w:t>
      </w:r>
    </w:p>
    <w:p>
      <w:pPr>
        <w:pBdr>
          <w:bottom w:val="single" w:color="006B8C" w:sz="8" w:space="1"/>
        </w:pBdr>
        <w:spacing w:after="160" w:before="0"/>
      </w:pPr>
    </w:p>
    <w:p>
      <w:pPr>
        <w:spacing w:after="120" w:before="240"/>
      </w:pPr>
      <w:r>
        <w:rPr>
          <w:rFonts w:ascii="Arial" w:cs="Arial" w:eastAsia="Arial" w:hAnsi="Arial"/>
          <w:b/>
          <w:bCs/>
          <w:color w:val="0A1628"/>
          <w:sz w:val="48"/>
          <w:szCs w:val="48"/>
        </w:rPr>
        <w:t xml:space="preserve">Network Technology Leadership</w:t>
      </w:r>
    </w:p>
    <w:p>
      <w:pPr>
        <w:spacing w:after="120" w:before="0"/>
      </w:pPr>
      <w:r>
        <w:rPr>
          <w:rFonts w:ascii="Arial" w:cs="Arial" w:eastAsia="Arial" w:hAnsi="Arial"/>
          <w:b/>
          <w:bCs/>
          <w:color w:val="006B8C"/>
          <w:sz w:val="36"/>
          <w:szCs w:val="36"/>
        </w:rPr>
        <w:t xml:space="preserve">Executive Use Case Series</w:t>
      </w:r>
    </w:p>
    <w:p>
      <w:pPr>
        <w:spacing w:after="480" w:before="120"/>
      </w:pPr>
      <w:r>
        <w:rPr>
          <w:rFonts w:ascii="Arial" w:cs="Arial" w:eastAsia="Arial" w:hAnsi="Arial"/>
          <w:color w:val="4A5568"/>
          <w:sz w:val="22"/>
          <w:szCs w:val="22"/>
        </w:rPr>
        <w:t xml:space="preserve">A Three-Scenario Narrative of Applied Government Technology Leadership</w:t>
      </w:r>
    </w:p>
    <w:p>
      <w:pPr>
        <w:pBdr>
          <w:bottom w:val="single" w:color="0A1628" w:sz="8" w:space="1"/>
        </w:pBdr>
        <w:spacing w:after="160" w:before="0"/>
      </w:pPr>
    </w:p>
    <w:p>
      <w:pPr>
        <w:spacing w:after="80" w:before="240"/>
      </w:pPr>
      <w:r>
        <w:rPr>
          <w:rFonts w:ascii="Arial" w:cs="Arial" w:eastAsia="Arial" w:hAnsi="Arial"/>
          <w:b/>
          <w:bCs/>
          <w:color w:val="0A1628"/>
          <w:sz w:val="20"/>
          <w:szCs w:val="20"/>
        </w:rPr>
        <w:t xml:space="preserve">Deputy Chief Networking Officer:  </w:t>
      </w:r>
      <w:r>
        <w:rPr>
          <w:rFonts w:ascii="Arial" w:cs="Arial" w:eastAsia="Arial" w:hAnsi="Arial"/>
          <w:color w:val="1A2B3C"/>
          <w:sz w:val="20"/>
          <w:szCs w:val="20"/>
        </w:rPr>
        <w:t xml:space="preserve">R. Lowery</w:t>
      </w:r>
    </w:p>
    <w:p>
      <w:pPr>
        <w:spacing w:after="80" w:before="0"/>
      </w:pPr>
      <w:r>
        <w:rPr>
          <w:rFonts w:ascii="Arial" w:cs="Arial" w:eastAsia="Arial" w:hAnsi="Arial"/>
          <w:b/>
          <w:bCs/>
          <w:color w:val="0A1628"/>
          <w:sz w:val="20"/>
          <w:szCs w:val="20"/>
        </w:rPr>
        <w:t xml:space="preserve">Mayor:  </w:t>
      </w:r>
      <w:r>
        <w:rPr>
          <w:rFonts w:ascii="Arial" w:cs="Arial" w:eastAsia="Arial" w:hAnsi="Arial"/>
          <w:color w:val="1A2B3C"/>
          <w:sz w:val="20"/>
          <w:szCs w:val="20"/>
        </w:rPr>
        <w:t xml:space="preserve">Minerva Brayboy</w:t>
      </w:r>
    </w:p>
    <w:p>
      <w:pPr>
        <w:spacing w:after="80" w:before="0"/>
      </w:pPr>
      <w:r>
        <w:rPr>
          <w:rFonts w:ascii="Arial" w:cs="Arial" w:eastAsia="Arial" w:hAnsi="Arial"/>
          <w:b/>
          <w:bCs/>
          <w:color w:val="0A1628"/>
          <w:sz w:val="20"/>
          <w:szCs w:val="20"/>
        </w:rPr>
        <w:t xml:space="preserve">CIO:  </w:t>
      </w:r>
      <w:r>
        <w:rPr>
          <w:rFonts w:ascii="Arial" w:cs="Arial" w:eastAsia="Arial" w:hAnsi="Arial"/>
          <w:color w:val="1A2B3C"/>
          <w:sz w:val="20"/>
          <w:szCs w:val="20"/>
        </w:rPr>
        <w:t xml:space="preserve">Janelle Taylor</w:t>
      </w:r>
    </w:p>
    <w:p>
      <w:pPr>
        <w:spacing w:after="80" w:before="0"/>
      </w:pPr>
      <w:r>
        <w:rPr>
          <w:rFonts w:ascii="Arial" w:cs="Arial" w:eastAsia="Arial" w:hAnsi="Arial"/>
          <w:b/>
          <w:bCs/>
          <w:color w:val="0A1628"/>
          <w:sz w:val="20"/>
          <w:szCs w:val="20"/>
        </w:rPr>
        <w:t xml:space="preserve">Population:  </w:t>
      </w:r>
      <w:r>
        <w:rPr>
          <w:rFonts w:ascii="Arial" w:cs="Arial" w:eastAsia="Arial" w:hAnsi="Arial"/>
          <w:color w:val="1A2B3C"/>
          <w:sz w:val="20"/>
          <w:szCs w:val="20"/>
        </w:rPr>
        <w:t xml:space="preserve">1.8 Million Residents</w:t>
      </w:r>
    </w:p>
    <w:p>
      <w:pPr>
        <w:spacing w:after="0" w:before="360"/>
      </w:pPr>
      <w:r>
        <w:rPr>
          <w:rFonts w:ascii="Arial" w:cs="Arial" w:eastAsia="Arial" w:hAnsi="Arial"/>
          <w:i/>
          <w:iCs/>
          <w:color w:val="4A5568"/>
          <w:sz w:val="17"/>
          <w:szCs w:val="17"/>
        </w:rPr>
        <w:t xml:space="preserve">Note: The City of Harborview, PA is a fictitious municipality created for portfolio demonstration purposes. All executive names, organizational structures, operational data, incident details, and financial figures within this use case series are fabricated. The executive reporting format, governance frameworks, and leadership approach demonstrated reflect the author's confirmed professional experience.</w:t>
      </w:r>
    </w:p>
    <w:p>
      <w:r>
        <w:br w:type="page"/>
      </w:r>
    </w:p>
    <w:p>
      <w:pPr>
        <w:spacing w:after="120" w:before="360"/>
      </w:pPr>
      <w:r>
        <w:rPr>
          <w:rFonts w:ascii="Arial" w:cs="Arial" w:eastAsia="Arial" w:hAnsi="Arial"/>
          <w:b/>
          <w:bCs/>
          <w:color w:val="0A1628"/>
          <w:sz w:val="32"/>
          <w:szCs w:val="32"/>
        </w:rPr>
        <w:t xml:space="preserve">Use Case Overview</w:t>
      </w:r>
    </w:p>
    <w:p>
      <w:pPr>
        <w:pBdr>
          <w:bottom w:val="single" w:color="0A1628" w:sz="8" w:space="1"/>
        </w:pBdr>
        <w:spacing w:after="160" w:before="0"/>
      </w:pPr>
    </w:p>
    <w:p>
      <w:pPr>
        <w:spacing w:after="120" w:before="60"/>
      </w:pPr>
      <w:r>
        <w:rPr>
          <w:rFonts w:ascii="Arial" w:cs="Arial" w:eastAsia="Arial" w:hAnsi="Arial"/>
          <w:color w:val="1A2B3C"/>
          <w:sz w:val="20"/>
          <w:szCs w:val="20"/>
        </w:rPr>
        <w:t xml:space="preserve">This document provides the narrative context and strategic rationale for the City of Harborview Executive Use Case Series — a three-scenario portfolio of fully developed executive status reports demonstrating applied network technology leadership across the full operational lifecycle of a Deputy Chief Networking Officer engagement.</w:t>
      </w:r>
    </w:p>
    <w:p>
      <w:pPr>
        <w:spacing w:after="120" w:before="60"/>
      </w:pPr>
      <w:r>
        <w:rPr>
          <w:rFonts w:ascii="Arial" w:cs="Arial" w:eastAsia="Arial" w:hAnsi="Arial"/>
          <w:color w:val="1A2B3C"/>
          <w:sz w:val="20"/>
          <w:szCs w:val="20"/>
        </w:rPr>
        <w:t xml:space="preserve">The use case is designed to answer a single question that no resume can answer: what does this leader actually do when they are in the seat?</w:t>
      </w:r>
    </w:p>
    <w:p>
      <w:pPr>
        <w:spacing w:after="120" w:before="60"/>
      </w:pPr>
      <w:r>
        <w:rPr>
          <w:rFonts w:ascii="Arial" w:cs="Arial" w:eastAsia="Arial" w:hAnsi="Arial"/>
          <w:color w:val="1A2B3C"/>
          <w:sz w:val="20"/>
          <w:szCs w:val="20"/>
        </w:rPr>
        <w:t xml:space="preserve">The three scenarios are structured as a continuous narrative — same city, same leadership team, same Deputy CNO — progressing through stabilization, transformation, and active crisis command. Together they demonstrate judgment, transparency, governance discipline, and accountability at scale.</w:t>
      </w:r>
    </w:p>
    <w:p>
      <w:r>
        <w:br w:type="page"/>
      </w:r>
    </w:p>
    <w:p>
      <w:pPr>
        <w:spacing w:after="120" w:before="360"/>
      </w:pPr>
      <w:r>
        <w:rPr>
          <w:rFonts w:ascii="Arial" w:cs="Arial" w:eastAsia="Arial" w:hAnsi="Arial"/>
          <w:b/>
          <w:bCs/>
          <w:color w:val="0A1628"/>
          <w:sz w:val="32"/>
          <w:szCs w:val="32"/>
        </w:rPr>
        <w:t xml:space="preserve">City of Harborview — Profile</w:t>
      </w:r>
    </w:p>
    <w:p>
      <w:pPr>
        <w:pBdr>
          <w:bottom w:val="single" w:color="0A1628" w:sz="8" w:space="1"/>
        </w:pBdr>
        <w:spacing w:after="160" w:before="0"/>
      </w:pPr>
    </w:p>
    <w:p>
      <w:pPr>
        <w:spacing w:after="120" w:before="60"/>
      </w:pPr>
      <w:r>
        <w:rPr>
          <w:rFonts w:ascii="Arial" w:cs="Arial" w:eastAsia="Arial" w:hAnsi="Arial"/>
          <w:color w:val="1A2B3C"/>
          <w:sz w:val="20"/>
          <w:szCs w:val="20"/>
        </w:rPr>
        <w:t xml:space="preserve">The City of Harborview mirrors the confirmed operational environment and strategic priorities of the target engagement — adapted to a fictitious municipality to allow full transparency in the portfolio without disclosing confidential government operational data.</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Municipality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19"/>
                <w:szCs w:val="19"/>
              </w:rPr>
              <w:t xml:space="preserve">City of Harborview, Pennsylvania</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0A1628"/>
                <w:sz w:val="19"/>
                <w:szCs w:val="19"/>
              </w:rPr>
              <w:t xml:space="preserve">Population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2B3C"/>
                <w:sz w:val="19"/>
                <w:szCs w:val="19"/>
              </w:rPr>
              <w:t xml:space="preserve">1.8 Million Residents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Mayor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19"/>
                <w:szCs w:val="19"/>
              </w:rPr>
              <w:t xml:space="preserve">Minerva Brayboy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0A1628"/>
                <w:sz w:val="19"/>
                <w:szCs w:val="19"/>
              </w:rPr>
              <w:t xml:space="preserve">CIO</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2B3C"/>
                <w:sz w:val="19"/>
                <w:szCs w:val="19"/>
              </w:rPr>
              <w:t xml:space="preserve">Janelle Taylor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Deputy CNO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19"/>
                <w:szCs w:val="19"/>
              </w:rPr>
              <w:t xml:space="preserve">R. Lowery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0A1628"/>
                <w:sz w:val="19"/>
                <w:szCs w:val="19"/>
              </w:rPr>
              <w:t xml:space="preserve">City Facilities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2B3C"/>
                <w:sz w:val="19"/>
                <w:szCs w:val="19"/>
              </w:rPr>
              <w:t xml:space="preserve">94 locations across the municipality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Managed Devices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19"/>
                <w:szCs w:val="19"/>
              </w:rPr>
              <w:t xml:space="preserve">1,847 network devices under management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0A1628"/>
                <w:sz w:val="19"/>
                <w:szCs w:val="19"/>
              </w:rPr>
              <w:t xml:space="preserve">Technology Stakeholders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2B3C"/>
                <w:sz w:val="19"/>
                <w:szCs w:val="19"/>
              </w:rPr>
              <w:t xml:space="preserve">75 City technology stakeholders across all departments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Critical Networks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19"/>
                <w:szCs w:val="19"/>
              </w:rPr>
              <w:t xml:space="preserve">Public Safety Dispatch, Harbor International Airport, City Hall, enterprise citywide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0A1628"/>
                <w:sz w:val="19"/>
                <w:szCs w:val="19"/>
              </w:rPr>
              <w:t xml:space="preserve">Network Environment</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2B3C"/>
                <w:sz w:val="19"/>
                <w:szCs w:val="19"/>
              </w:rPr>
              <w:t xml:space="preserve">WAN, LAN, firewall, VPN, DNS, wireless — legacy copper and modern fiber — 24/7 operations required</w:t>
            </w:r>
          </w:p>
        </w:tc>
      </w:tr>
    </w:tbl>
    <w:p>
      <w:pPr>
        <w:spacing w:after="100" w:before="280"/>
      </w:pPr>
      <w:r>
        <w:rPr>
          <w:rFonts w:ascii="Arial" w:cs="Arial" w:eastAsia="Arial" w:hAnsi="Arial"/>
          <w:b/>
          <w:bCs/>
          <w:color w:val="006B8C"/>
          <w:sz w:val="24"/>
          <w:szCs w:val="24"/>
        </w:rPr>
        <w:t xml:space="preserve">Known Issues at Engagement Start</w:t>
      </w:r>
    </w:p>
    <w:p>
      <w:pPr>
        <w:spacing w:after="120" w:before="60"/>
      </w:pPr>
      <w:r>
        <w:rPr>
          <w:rFonts w:ascii="Arial" w:cs="Arial" w:eastAsia="Arial" w:hAnsi="Arial"/>
          <w:color w:val="1A2B3C"/>
          <w:sz w:val="20"/>
          <w:szCs w:val="20"/>
        </w:rPr>
        <w:t xml:space="preserve">The City of Harborview entered the engagement with a network environment that mirrored common challenges in large municipal government technology organizations:</w:t>
      </w:r>
    </w:p>
    <w:p>
      <w:pPr>
        <w:pStyle w:val="ListParagraph"/>
        <w:numPr>
          <w:ilvl w:val="0"/>
          <w:numId w:val="2"/>
        </w:numPr>
        <w:spacing w:after="40" w:before="40"/>
      </w:pPr>
      <w:r>
        <w:rPr>
          <w:rFonts w:ascii="Arial" w:cs="Arial" w:eastAsia="Arial" w:hAnsi="Arial"/>
          <w:color w:val="1A2B3C"/>
          <w:sz w:val="20"/>
          <w:szCs w:val="20"/>
        </w:rPr>
        <w:t xml:space="preserve">No network strategy aligned to CIO or Mayoral requirements</w:t>
      </w:r>
    </w:p>
    <w:p>
      <w:pPr>
        <w:pStyle w:val="ListParagraph"/>
        <w:numPr>
          <w:ilvl w:val="0"/>
          <w:numId w:val="2"/>
        </w:numPr>
        <w:spacing w:after="40" w:before="40"/>
      </w:pPr>
      <w:r>
        <w:rPr>
          <w:rFonts w:ascii="Arial" w:cs="Arial" w:eastAsia="Arial" w:hAnsi="Arial"/>
          <w:color w:val="1A2B3C"/>
          <w:sz w:val="20"/>
          <w:szCs w:val="20"/>
        </w:rPr>
        <w:t xml:space="preserve">Leadership staffing shortage — critical initiatives unmanaged</w:t>
      </w:r>
    </w:p>
    <w:p>
      <w:pPr>
        <w:pStyle w:val="ListParagraph"/>
        <w:numPr>
          <w:ilvl w:val="0"/>
          <w:numId w:val="2"/>
        </w:numPr>
        <w:spacing w:after="40" w:before="40"/>
      </w:pPr>
      <w:r>
        <w:rPr>
          <w:rFonts w:ascii="Arial" w:cs="Arial" w:eastAsia="Arial" w:hAnsi="Arial"/>
          <w:color w:val="1A2B3C"/>
          <w:sz w:val="20"/>
          <w:szCs w:val="20"/>
        </w:rPr>
        <w:t xml:space="preserve">32 active network capacity outages impacting Public Safety and Airport</w:t>
      </w:r>
    </w:p>
    <w:p>
      <w:pPr>
        <w:pStyle w:val="ListParagraph"/>
        <w:numPr>
          <w:ilvl w:val="0"/>
          <w:numId w:val="2"/>
        </w:numPr>
        <w:spacing w:after="40" w:before="40"/>
      </w:pPr>
      <w:r>
        <w:rPr>
          <w:rFonts w:ascii="Arial" w:cs="Arial" w:eastAsia="Arial" w:hAnsi="Arial"/>
          <w:color w:val="1A2B3C"/>
          <w:sz w:val="20"/>
          <w:szCs w:val="20"/>
        </w:rPr>
        <w:t xml:space="preserve">23 undocumented single points of failure across Tier 1 infrastructure</w:t>
      </w:r>
    </w:p>
    <w:p>
      <w:pPr>
        <w:pStyle w:val="ListParagraph"/>
        <w:numPr>
          <w:ilvl w:val="0"/>
          <w:numId w:val="2"/>
        </w:numPr>
        <w:spacing w:after="40" w:before="40"/>
      </w:pPr>
      <w:r>
        <w:rPr>
          <w:rFonts w:ascii="Arial" w:cs="Arial" w:eastAsia="Arial" w:hAnsi="Arial"/>
          <w:color w:val="1A2B3C"/>
          <w:sz w:val="20"/>
          <w:szCs w:val="20"/>
        </w:rPr>
        <w:t xml:space="preserve">14 monitoring blind spots — no alerting on significant network segments</w:t>
      </w:r>
    </w:p>
    <w:p>
      <w:pPr>
        <w:pStyle w:val="ListParagraph"/>
        <w:numPr>
          <w:ilvl w:val="0"/>
          <w:numId w:val="2"/>
        </w:numPr>
        <w:spacing w:after="40" w:before="40"/>
      </w:pPr>
      <w:r>
        <w:rPr>
          <w:rFonts w:ascii="Arial" w:cs="Arial" w:eastAsia="Arial" w:hAnsi="Arial"/>
          <w:color w:val="1A2B3C"/>
          <w:sz w:val="20"/>
          <w:szCs w:val="20"/>
        </w:rPr>
        <w:t xml:space="preserve">No runbooks, no escalation matrix, no shift handoff standards</w:t>
      </w:r>
    </w:p>
    <w:p>
      <w:pPr>
        <w:pStyle w:val="ListParagraph"/>
        <w:numPr>
          <w:ilvl w:val="0"/>
          <w:numId w:val="2"/>
        </w:numPr>
        <w:spacing w:after="40" w:before="40"/>
      </w:pPr>
      <w:r>
        <w:rPr>
          <w:rFonts w:ascii="Arial" w:cs="Arial" w:eastAsia="Arial" w:hAnsi="Arial"/>
          <w:color w:val="1A2B3C"/>
          <w:sz w:val="20"/>
          <w:szCs w:val="20"/>
        </w:rPr>
        <w:t xml:space="preserve">No project scorecard transparency — leadership operating without visibility</w:t>
      </w:r>
    </w:p>
    <w:p>
      <w:pPr>
        <w:pStyle w:val="ListParagraph"/>
        <w:numPr>
          <w:ilvl w:val="0"/>
          <w:numId w:val="2"/>
        </w:numPr>
        <w:spacing w:after="40" w:before="40"/>
      </w:pPr>
      <w:r>
        <w:rPr>
          <w:rFonts w:ascii="Arial" w:cs="Arial" w:eastAsia="Arial" w:hAnsi="Arial"/>
          <w:color w:val="1A2B3C"/>
          <w:sz w:val="20"/>
          <w:szCs w:val="20"/>
        </w:rPr>
        <w:t xml:space="preserve">Sole operating objective: keep the lights on</w:t>
      </w:r>
    </w:p>
    <w:p>
      <w:pPr>
        <w:spacing w:after="100" w:before="280"/>
      </w:pPr>
      <w:r>
        <w:rPr>
          <w:rFonts w:ascii="Arial" w:cs="Arial" w:eastAsia="Arial" w:hAnsi="Arial"/>
          <w:b/>
          <w:bCs/>
          <w:color w:val="006B8C"/>
          <w:sz w:val="24"/>
          <w:szCs w:val="24"/>
        </w:rPr>
        <w:t xml:space="preserve">Mayor's Network Modernization Mandate</w:t>
      </w:r>
    </w:p>
    <w:p>
      <w:pPr>
        <w:spacing w:after="120" w:before="60"/>
      </w:pPr>
      <w:r>
        <w:rPr>
          <w:rFonts w:ascii="Arial" w:cs="Arial" w:eastAsia="Arial" w:hAnsi="Arial"/>
          <w:color w:val="1A2B3C"/>
          <w:sz w:val="20"/>
          <w:szCs w:val="20"/>
        </w:rPr>
        <w:t xml:space="preserve">Mayor Minerva Brayboy issued the Network Modernization Mandate in January 2026, directing OIT to resolve the capacity crisis, modernize aging infrastructure, and build a network capable of supporting the City's digital services growth. CIO Janelle Taylor owned strategic alignment. R. Lowery was appointed Deputy Chief Networking Officer to execute.</w:t>
      </w:r>
    </w:p>
    <w:p>
      <w:pPr>
        <w:spacing w:after="120" w:before="60"/>
      </w:pPr>
      <w:r>
        <w:rPr>
          <w:rFonts w:ascii="Arial" w:cs="Arial" w:eastAsia="Arial" w:hAnsi="Arial"/>
          <w:color w:val="1A2B3C"/>
          <w:sz w:val="20"/>
          <w:szCs w:val="20"/>
        </w:rPr>
        <w:t xml:space="preserve">The Mandate established five priorities:</w:t>
      </w:r>
    </w:p>
    <w:p>
      <w:pPr>
        <w:pStyle w:val="ListParagraph"/>
        <w:numPr>
          <w:ilvl w:val="0"/>
          <w:numId w:val="2"/>
        </w:numPr>
        <w:spacing w:after="40" w:before="40"/>
      </w:pPr>
      <w:r>
        <w:rPr>
          <w:rFonts w:ascii="Arial" w:cs="Arial" w:eastAsia="Arial" w:hAnsi="Arial"/>
          <w:color w:val="1A2B3C"/>
          <w:sz w:val="20"/>
          <w:szCs w:val="20"/>
        </w:rPr>
        <w:t xml:space="preserve">Resolve all active network capacity outages — Public Safety and Airport first</w:t>
      </w:r>
    </w:p>
    <w:p>
      <w:pPr>
        <w:pStyle w:val="ListParagraph"/>
        <w:numPr>
          <w:ilvl w:val="0"/>
          <w:numId w:val="2"/>
        </w:numPr>
        <w:spacing w:after="40" w:before="40"/>
      </w:pPr>
      <w:r>
        <w:rPr>
          <w:rFonts w:ascii="Arial" w:cs="Arial" w:eastAsia="Arial" w:hAnsi="Arial"/>
          <w:color w:val="1A2B3C"/>
          <w:sz w:val="20"/>
          <w:szCs w:val="20"/>
        </w:rPr>
        <w:t xml:space="preserve">Eliminate all documented single points of failure citywide</w:t>
      </w:r>
    </w:p>
    <w:p>
      <w:pPr>
        <w:pStyle w:val="ListParagraph"/>
        <w:numPr>
          <w:ilvl w:val="0"/>
          <w:numId w:val="2"/>
        </w:numPr>
        <w:spacing w:after="40" w:before="40"/>
      </w:pPr>
      <w:r>
        <w:rPr>
          <w:rFonts w:ascii="Arial" w:cs="Arial" w:eastAsia="Arial" w:hAnsi="Arial"/>
          <w:color w:val="1A2B3C"/>
          <w:sz w:val="20"/>
          <w:szCs w:val="20"/>
        </w:rPr>
        <w:t xml:space="preserve">Achieve 99.99% network availability for Public Safety and Airport environments</w:t>
      </w:r>
    </w:p>
    <w:p>
      <w:pPr>
        <w:pStyle w:val="ListParagraph"/>
        <w:numPr>
          <w:ilvl w:val="0"/>
          <w:numId w:val="2"/>
        </w:numPr>
        <w:spacing w:after="40" w:before="40"/>
      </w:pPr>
      <w:r>
        <w:rPr>
          <w:rFonts w:ascii="Arial" w:cs="Arial" w:eastAsia="Arial" w:hAnsi="Arial"/>
          <w:color w:val="1A2B3C"/>
          <w:sz w:val="20"/>
          <w:szCs w:val="20"/>
        </w:rPr>
        <w:t xml:space="preserve">Establish transparent governance and executive reporting across all network operations</w:t>
      </w:r>
    </w:p>
    <w:p>
      <w:pPr>
        <w:pStyle w:val="ListParagraph"/>
        <w:numPr>
          <w:ilvl w:val="0"/>
          <w:numId w:val="2"/>
        </w:numPr>
        <w:spacing w:after="40" w:before="40"/>
      </w:pPr>
      <w:r>
        <w:rPr>
          <w:rFonts w:ascii="Arial" w:cs="Arial" w:eastAsia="Arial" w:hAnsi="Arial"/>
          <w:color w:val="1A2B3C"/>
          <w:sz w:val="20"/>
          <w:szCs w:val="20"/>
        </w:rPr>
        <w:t xml:space="preserve">Execute copper-to-fiber migration and network buildout to support digital services growth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1628" w:val="clear"/>
            <w:tcMar>
              <w:top w:type="dxa" w:w="120"/>
              <w:left w:type="dxa" w:w="180"/>
              <w:bottom w:type="dxa" w:w="120"/>
              <w:right w:type="dxa" w:w="180"/>
            </w:tcMar>
          </w:tcPr>
          <w:p>
            <w:r>
              <w:rPr>
                <w:rFonts w:ascii="Arial" w:cs="Arial" w:eastAsia="Arial" w:hAnsi="Arial"/>
                <w:b/>
                <w:bCs/>
                <w:color w:val="FFFFFF"/>
                <w:sz w:val="26"/>
                <w:szCs w:val="26"/>
              </w:rPr>
              <w:t xml:space="preserve">Scenario 1 — Stabilization</w:t>
            </w:r>
          </w:p>
          <w:p>
            <w:pPr>
              <w:spacing w:before="60"/>
            </w:pPr>
            <w:r>
              <w:rPr>
                <w:rFonts w:ascii="Arial" w:cs="Arial" w:eastAsia="Arial" w:hAnsi="Arial"/>
                <w:color w:val="CADCFC"/>
                <w:sz w:val="18"/>
                <w:szCs w:val="18"/>
              </w:rPr>
              <w:t xml:space="preserve">Q3 2026  |  Weekending September 30, 2026  |  Harborview_Executive_Status_Report_Q3_2026.pptx</w:t>
            </w:r>
          </w:p>
        </w:tc>
      </w:tr>
    </w:tbl>
    <w:p>
      <w:pPr>
        <w:spacing w:after="0" w:before="160"/>
      </w:pPr>
    </w:p>
    <w:p>
      <w:pPr>
        <w:spacing w:after="100" w:before="280"/>
      </w:pPr>
      <w:r>
        <w:rPr>
          <w:rFonts w:ascii="Arial" w:cs="Arial" w:eastAsia="Arial" w:hAnsi="Arial"/>
          <w:b/>
          <w:bCs/>
          <w:color w:val="006B8C"/>
          <w:sz w:val="24"/>
          <w:szCs w:val="24"/>
        </w:rPr>
        <w:t xml:space="preserve">The Situation</w:t>
      </w:r>
    </w:p>
    <w:p>
      <w:pPr>
        <w:spacing w:after="120" w:before="60"/>
      </w:pPr>
      <w:r>
        <w:rPr>
          <w:rFonts w:ascii="Arial" w:cs="Arial" w:eastAsia="Arial" w:hAnsi="Arial"/>
          <w:color w:val="1A2B3C"/>
          <w:sz w:val="20"/>
          <w:szCs w:val="20"/>
        </w:rPr>
        <w:t xml:space="preserve">R. Lowery enters as Deputy Chief Networking Officer on Day 1 to a network environment that has been operating in survival mode. There is no documented network strategy, no governance framework, no incident escalation matrix, and no shift handoff standards. The team of 20+ senior network engineers is technically skilled but has been operating without leadership, strategic direction, or organizational alignment for an extended period.</w:t>
      </w:r>
    </w:p>
    <w:p>
      <w:pPr>
        <w:spacing w:after="120" w:before="60"/>
      </w:pPr>
      <w:r>
        <w:rPr>
          <w:rFonts w:ascii="Arial" w:cs="Arial" w:eastAsia="Arial" w:hAnsi="Arial"/>
          <w:color w:val="1A2B3C"/>
          <w:sz w:val="20"/>
          <w:szCs w:val="20"/>
        </w:rPr>
        <w:t xml:space="preserve">The immediate operational reality is serious. 32 active capacity outages are degrading Public Safety dispatch operations and periodically disrupting connectivity at Harbor International Airport. 23 single points of failure exist across the infrastructure — none documented. 14 network segments have no monitoring coverage at all.</w:t>
      </w:r>
    </w:p>
    <w:p>
      <w:pPr>
        <w:spacing w:after="100" w:before="280"/>
      </w:pPr>
      <w:r>
        <w:rPr>
          <w:rFonts w:ascii="Arial" w:cs="Arial" w:eastAsia="Arial" w:hAnsi="Arial"/>
          <w:b/>
          <w:bCs/>
          <w:color w:val="006B8C"/>
          <w:sz w:val="24"/>
          <w:szCs w:val="24"/>
        </w:rPr>
        <w:t xml:space="preserve">What This Report Demonstrates</w:t>
      </w:r>
    </w:p>
    <w:p>
      <w:pPr>
        <w:pStyle w:val="ListParagraph"/>
        <w:numPr>
          <w:ilvl w:val="0"/>
          <w:numId w:val="2"/>
        </w:numPr>
        <w:spacing w:after="40" w:before="40"/>
      </w:pPr>
      <w:r>
        <w:rPr>
          <w:rFonts w:ascii="Arial" w:cs="Arial" w:eastAsia="Arial" w:hAnsi="Arial"/>
          <w:color w:val="1A2B3C"/>
          <w:sz w:val="20"/>
          <w:szCs w:val="20"/>
        </w:rPr>
        <w:t xml:space="preserve">Current state assessment completed within 90 days — 1,847 managed devices across 94 facilities inventoried and documented</w:t>
      </w:r>
    </w:p>
    <w:p>
      <w:pPr>
        <w:pStyle w:val="ListParagraph"/>
        <w:numPr>
          <w:ilvl w:val="0"/>
          <w:numId w:val="2"/>
        </w:numPr>
        <w:spacing w:after="40" w:before="40"/>
      </w:pPr>
      <w:r>
        <w:rPr>
          <w:rFonts w:ascii="Arial" w:cs="Arial" w:eastAsia="Arial" w:hAnsi="Arial"/>
          <w:color w:val="1A2B3C"/>
          <w:sz w:val="20"/>
          <w:szCs w:val="20"/>
        </w:rPr>
        <w:t xml:space="preserve">Honest Red indicator reporting — Network Capacity Outages declared as the primary Red project with named owner, executive sponsor, full resource allocation, and risk register</w:t>
      </w:r>
    </w:p>
    <w:p>
      <w:pPr>
        <w:pStyle w:val="ListParagraph"/>
        <w:numPr>
          <w:ilvl w:val="0"/>
          <w:numId w:val="2"/>
        </w:numPr>
        <w:spacing w:after="40" w:before="40"/>
      </w:pPr>
      <w:r>
        <w:rPr>
          <w:rFonts w:ascii="Arial" w:cs="Arial" w:eastAsia="Arial" w:hAnsi="Arial"/>
          <w:color w:val="1A2B3C"/>
          <w:sz w:val="20"/>
          <w:szCs w:val="20"/>
        </w:rPr>
        <w:t xml:space="preserve">Mayoral Initiative alignment — Mayor Brayboy's Network Modernization Mandate translated into named initiatives with health indicators and delivery timelines</w:t>
      </w:r>
    </w:p>
    <w:p>
      <w:pPr>
        <w:pStyle w:val="ListParagraph"/>
        <w:numPr>
          <w:ilvl w:val="0"/>
          <w:numId w:val="2"/>
        </w:numPr>
        <w:spacing w:after="40" w:before="40"/>
      </w:pPr>
      <w:r>
        <w:rPr>
          <w:rFonts w:ascii="Arial" w:cs="Arial" w:eastAsia="Arial" w:hAnsi="Arial"/>
          <w:color w:val="1A2B3C"/>
          <w:sz w:val="20"/>
          <w:szCs w:val="20"/>
        </w:rPr>
        <w:t xml:space="preserve">Governance gap documented and presented transparently to CIO Taylor — no political softening</w:t>
      </w:r>
    </w:p>
    <w:p>
      <w:pPr>
        <w:pStyle w:val="ListParagraph"/>
        <w:numPr>
          <w:ilvl w:val="0"/>
          <w:numId w:val="2"/>
        </w:numPr>
        <w:spacing w:after="40" w:before="40"/>
      </w:pPr>
      <w:r>
        <w:rPr>
          <w:rFonts w:ascii="Arial" w:cs="Arial" w:eastAsia="Arial" w:hAnsi="Arial"/>
          <w:color w:val="1A2B3C"/>
          <w:sz w:val="20"/>
          <w:szCs w:val="20"/>
        </w:rPr>
        <w:t xml:space="preserve">30-60-90 day commitment delivered in writing to leadership with named deliverables</w:t>
      </w:r>
    </w:p>
    <w:p>
      <w:pPr>
        <w:pStyle w:val="ListParagraph"/>
        <w:numPr>
          <w:ilvl w:val="0"/>
          <w:numId w:val="2"/>
        </w:numPr>
        <w:spacing w:after="40" w:before="40"/>
      </w:pPr>
      <w:r>
        <w:rPr>
          <w:rFonts w:ascii="Arial" w:cs="Arial" w:eastAsia="Arial" w:hAnsi="Arial"/>
          <w:color w:val="1A2B3C"/>
          <w:sz w:val="20"/>
          <w:szCs w:val="20"/>
        </w:rPr>
        <w:t xml:space="preserve">Stakeholder communications established across all 75 City technology stakeholders — first IT Technology meeting presentation delivered</w:t>
      </w:r>
    </w:p>
    <w:p>
      <w:pPr>
        <w:pStyle w:val="ListParagraph"/>
        <w:numPr>
          <w:ilvl w:val="0"/>
          <w:numId w:val="2"/>
        </w:numPr>
        <w:spacing w:after="40" w:before="40"/>
      </w:pPr>
      <w:r>
        <w:rPr>
          <w:rFonts w:ascii="Arial" w:cs="Arial" w:eastAsia="Arial" w:hAnsi="Arial"/>
          <w:color w:val="1A2B3C"/>
          <w:sz w:val="20"/>
          <w:szCs w:val="20"/>
        </w:rPr>
        <w:t xml:space="preserve">Servant leadership posture established — R. Lowery as strategic governance layer, senior engineers as operational experts</w:t>
      </w:r>
    </w:p>
    <w:p>
      <w:pPr>
        <w:spacing w:after="100" w:before="280"/>
      </w:pPr>
      <w:r>
        <w:rPr>
          <w:rFonts w:ascii="Arial" w:cs="Arial" w:eastAsia="Arial" w:hAnsi="Arial"/>
          <w:b/>
          <w:bCs/>
          <w:color w:val="006B8C"/>
          <w:sz w:val="24"/>
          <w:szCs w:val="24"/>
        </w:rPr>
        <w:t xml:space="preserve">Key Leadership Moments</w:t>
      </w:r>
    </w:p>
    <w:p>
      <w:pPr>
        <w:spacing w:after="120" w:before="60"/>
      </w:pPr>
      <w:r>
        <w:rPr>
          <w:rFonts w:ascii="Arial" w:cs="Arial" w:eastAsia="Arial" w:hAnsi="Arial"/>
          <w:color w:val="1A2B3C"/>
          <w:sz w:val="20"/>
          <w:szCs w:val="20"/>
        </w:rPr>
        <w:t xml:space="preserve">The Q3 2026 report surfaces two decisions that require CIO and Mayoral approval — budget authorization for secondary circuit procurement at Public Safety HQ and Harbor Airport, and emergency staffing authorization for contract network engineers to close the capacity gap. These are presented transparently with cost estimates, business justification, and risk of inaction. R. Lowery does not obscure the budget requirement or minimize the urgency.</w:t>
      </w:r>
    </w:p>
    <w:p>
      <w:pPr>
        <w:spacing w:after="120" w:before="60"/>
      </w:pPr>
      <w:r>
        <w:rPr>
          <w:rFonts w:ascii="Arial" w:cs="Arial" w:eastAsia="Arial" w:hAnsi="Arial"/>
          <w:color w:val="1A2B3C"/>
          <w:sz w:val="20"/>
          <w:szCs w:val="20"/>
        </w:rPr>
        <w:t xml:space="preserve">The governance gap finding is presented with the same transparency. No runbooks existed. No escalation matrix existed. No shift handoffs occurred at prior shift transitions. This is stated directly in the Leadership Readout and the Problem Statement — not softened for the audience.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1628" w:val="clear"/>
            <w:tcMar>
              <w:top w:type="dxa" w:w="120"/>
              <w:left w:type="dxa" w:w="180"/>
              <w:bottom w:type="dxa" w:w="120"/>
              <w:right w:type="dxa" w:w="180"/>
            </w:tcMar>
          </w:tcPr>
          <w:p>
            <w:r>
              <w:rPr>
                <w:rFonts w:ascii="Arial" w:cs="Arial" w:eastAsia="Arial" w:hAnsi="Arial"/>
                <w:b/>
                <w:bCs/>
                <w:color w:val="FFFFFF"/>
                <w:sz w:val="26"/>
                <w:szCs w:val="26"/>
              </w:rPr>
              <w:t xml:space="preserve">Scenario 2 — Year One Complete</w:t>
            </w:r>
          </w:p>
          <w:p>
            <w:pPr>
              <w:spacing w:before="60"/>
            </w:pPr>
            <w:r>
              <w:rPr>
                <w:rFonts w:ascii="Arial" w:cs="Arial" w:eastAsia="Arial" w:hAnsi="Arial"/>
                <w:color w:val="CADCFC"/>
                <w:sz w:val="18"/>
                <w:szCs w:val="18"/>
              </w:rPr>
              <w:t xml:space="preserve">Q4 2027  |  Weekending December 31, 2027  |  Harborview_Executive_Status_Report_Q4_2027_YearOne.pptx</w:t>
            </w:r>
          </w:p>
        </w:tc>
      </w:tr>
    </w:tbl>
    <w:p>
      <w:pPr>
        <w:spacing w:after="0" w:before="160"/>
      </w:pPr>
    </w:p>
    <w:p>
      <w:pPr>
        <w:spacing w:after="100" w:before="280"/>
      </w:pPr>
      <w:r>
        <w:rPr>
          <w:rFonts w:ascii="Arial" w:cs="Arial" w:eastAsia="Arial" w:hAnsi="Arial"/>
          <w:b/>
          <w:bCs/>
          <w:color w:val="006B8C"/>
          <w:sz w:val="24"/>
          <w:szCs w:val="24"/>
        </w:rPr>
        <w:t xml:space="preserve">The Situation</w:t>
      </w:r>
    </w:p>
    <w:p>
      <w:pPr>
        <w:spacing w:after="120" w:before="60"/>
      </w:pPr>
      <w:r>
        <w:rPr>
          <w:rFonts w:ascii="Arial" w:cs="Arial" w:eastAsia="Arial" w:hAnsi="Arial"/>
          <w:color w:val="1A2B3C"/>
          <w:sz w:val="20"/>
          <w:szCs w:val="20"/>
        </w:rPr>
        <w:t xml:space="preserve">Year One is complete. The transformation that was committed in Q3 2026 has been delivered. The Q4 2027 report presents the before-and-after in a single accountability table — Day 1 state versus Year One results — with no hedging and no narrative softening. The numbers speak.</w:t>
      </w:r>
    </w:p>
    <w:p>
      <w:pPr>
        <w:spacing w:after="120" w:before="60"/>
      </w:pPr>
      <w:r>
        <w:rPr>
          <w:rFonts w:ascii="Arial" w:cs="Arial" w:eastAsia="Arial" w:hAnsi="Arial"/>
          <w:color w:val="1A2B3C"/>
          <w:sz w:val="20"/>
          <w:szCs w:val="20"/>
        </w:rPr>
        <w:t xml:space="preserve">Public Safety network availability has reached 99.99% — sustained for two consecutive quarters. Airport network availability is at 99.97%. All 23 single points of failure have been eliminated. Active capacity outages stand at zero — down from 32 on Day 1. The governance transformation is complete: full runbook library, standardized escalation matrix, shift handoff compliance at 100%, and monthly scorecard reporting to CIO and Deputy CIOs fully operational.</w:t>
      </w:r>
    </w:p>
    <w:p>
      <w:pPr>
        <w:spacing w:after="100" w:before="280"/>
      </w:pPr>
      <w:r>
        <w:rPr>
          <w:rFonts w:ascii="Arial" w:cs="Arial" w:eastAsia="Arial" w:hAnsi="Arial"/>
          <w:b/>
          <w:bCs/>
          <w:color w:val="006B8C"/>
          <w:sz w:val="24"/>
          <w:szCs w:val="24"/>
        </w:rPr>
        <w:t xml:space="preserve">What This Report Demonstrates</w:t>
      </w:r>
    </w:p>
    <w:p>
      <w:pPr>
        <w:pStyle w:val="ListParagraph"/>
        <w:numPr>
          <w:ilvl w:val="0"/>
          <w:numId w:val="2"/>
        </w:numPr>
        <w:spacing w:after="40" w:before="40"/>
      </w:pPr>
      <w:r>
        <w:rPr>
          <w:rFonts w:ascii="Arial" w:cs="Arial" w:eastAsia="Arial" w:hAnsi="Arial"/>
          <w:color w:val="1A2B3C"/>
          <w:sz w:val="20"/>
          <w:szCs w:val="20"/>
        </w:rPr>
        <w:t xml:space="preserve">Before-and-after accountability table — Day 1 state vs. Year One results — quantified and undeniable</w:t>
      </w:r>
    </w:p>
    <w:p>
      <w:pPr>
        <w:pStyle w:val="ListParagraph"/>
        <w:numPr>
          <w:ilvl w:val="0"/>
          <w:numId w:val="2"/>
        </w:numPr>
        <w:spacing w:after="40" w:before="40"/>
      </w:pPr>
      <w:r>
        <w:rPr>
          <w:rFonts w:ascii="Arial" w:cs="Arial" w:eastAsia="Arial" w:hAnsi="Arial"/>
          <w:color w:val="1A2B3C"/>
          <w:sz w:val="20"/>
          <w:szCs w:val="20"/>
        </w:rPr>
        <w:t xml:space="preserve">All four Mayoral Initiatives delivered on schedule — reported with evidence, not assertion</w:t>
      </w:r>
    </w:p>
    <w:p>
      <w:pPr>
        <w:pStyle w:val="ListParagraph"/>
        <w:numPr>
          <w:ilvl w:val="0"/>
          <w:numId w:val="2"/>
        </w:numPr>
        <w:spacing w:after="40" w:before="40"/>
      </w:pPr>
      <w:r>
        <w:rPr>
          <w:rFonts w:ascii="Arial" w:cs="Arial" w:eastAsia="Arial" w:hAnsi="Arial"/>
          <w:color w:val="1A2B3C"/>
          <w:sz w:val="20"/>
          <w:szCs w:val="20"/>
        </w:rPr>
        <w:t xml:space="preserve">NIST 800-53 network compliance at 62% — remediation roadmap on track — honest gap reported alongside progress</w:t>
      </w:r>
    </w:p>
    <w:p>
      <w:pPr>
        <w:pStyle w:val="ListParagraph"/>
        <w:numPr>
          <w:ilvl w:val="0"/>
          <w:numId w:val="2"/>
        </w:numPr>
        <w:spacing w:after="40" w:before="40"/>
      </w:pPr>
      <w:r>
        <w:rPr>
          <w:rFonts w:ascii="Arial" w:cs="Arial" w:eastAsia="Arial" w:hAnsi="Arial"/>
          <w:color w:val="1A2B3C"/>
          <w:sz w:val="20"/>
          <w:szCs w:val="20"/>
        </w:rPr>
        <w:t xml:space="preserve">Copper-to-fiber migration Phase 1 — 8 of 17 facilities complete — Phase 2 procurement approved</w:t>
      </w:r>
    </w:p>
    <w:p>
      <w:pPr>
        <w:pStyle w:val="ListParagraph"/>
        <w:numPr>
          <w:ilvl w:val="0"/>
          <w:numId w:val="2"/>
        </w:numPr>
        <w:spacing w:after="40" w:before="40"/>
      </w:pPr>
      <w:r>
        <w:rPr>
          <w:rFonts w:ascii="Arial" w:cs="Arial" w:eastAsia="Arial" w:hAnsi="Arial"/>
          <w:color w:val="1A2B3C"/>
          <w:sz w:val="20"/>
          <w:szCs w:val="20"/>
        </w:rPr>
        <w:t xml:space="preserve">Year Two strategic roadmap presented — SD-WAN, zero trust network access, copper-to-fiber Phase 2, advanced capability buildout</w:t>
      </w:r>
    </w:p>
    <w:p>
      <w:pPr>
        <w:pStyle w:val="ListParagraph"/>
        <w:numPr>
          <w:ilvl w:val="0"/>
          <w:numId w:val="2"/>
        </w:numPr>
        <w:spacing w:after="40" w:before="40"/>
      </w:pPr>
      <w:r>
        <w:rPr>
          <w:rFonts w:ascii="Arial" w:cs="Arial" w:eastAsia="Arial" w:hAnsi="Arial"/>
          <w:color w:val="1A2B3C"/>
          <w:sz w:val="20"/>
          <w:szCs w:val="20"/>
        </w:rPr>
        <w:t xml:space="preserve">Three capital budget approvals requested — SD-WAN procurement, copper-to-fiber Phase 2, zero trust pilot — each presented with business justification and ROI context</w:t>
      </w:r>
    </w:p>
    <w:p>
      <w:pPr>
        <w:spacing w:after="100" w:before="280"/>
      </w:pPr>
      <w:r>
        <w:rPr>
          <w:rFonts w:ascii="Arial" w:cs="Arial" w:eastAsia="Arial" w:hAnsi="Arial"/>
          <w:b/>
          <w:bCs/>
          <w:color w:val="006B8C"/>
          <w:sz w:val="24"/>
          <w:szCs w:val="24"/>
        </w:rPr>
        <w:t xml:space="preserve">Key Leadership Moments</w:t>
      </w:r>
    </w:p>
    <w:p>
      <w:pPr>
        <w:spacing w:after="120" w:before="60"/>
      </w:pPr>
      <w:r>
        <w:rPr>
          <w:rFonts w:ascii="Arial" w:cs="Arial" w:eastAsia="Arial" w:hAnsi="Arial"/>
          <w:color w:val="1A2B3C"/>
          <w:sz w:val="20"/>
          <w:szCs w:val="20"/>
        </w:rPr>
        <w:t xml:space="preserve">The Year One report does not declare victory and stop. The NIST 800-53 compliance gap is reported honestly at 62% — 18 percentage points below the 80% target — with a remediation roadmap and a Q4 2026 delivery commitment. The copper-to-fiber migration is reported as Phase 1 complete with Phase 2 scope and budget presented for approval.</w:t>
      </w:r>
    </w:p>
    <w:p>
      <w:pPr>
        <w:spacing w:after="120" w:before="60"/>
      </w:pPr>
      <w:r>
        <w:rPr>
          <w:rFonts w:ascii="Arial" w:cs="Arial" w:eastAsia="Arial" w:hAnsi="Arial"/>
          <w:color w:val="1A2B3C"/>
          <w:sz w:val="20"/>
          <w:szCs w:val="20"/>
        </w:rPr>
        <w:t xml:space="preserve">The Year Two roadmap extends the strategic horizon — 5G private network feasibility, network automation and infrastructure-as-code, zero trust network access — demonstrating that R. Lowery is thinking ahead of current execution, not just managing the backlog.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1628" w:val="clear"/>
            <w:tcMar>
              <w:top w:type="dxa" w:w="120"/>
              <w:left w:type="dxa" w:w="180"/>
              <w:bottom w:type="dxa" w:w="120"/>
              <w:right w:type="dxa" w:w="180"/>
            </w:tcMar>
          </w:tcPr>
          <w:p>
            <w:r>
              <w:rPr>
                <w:rFonts w:ascii="Arial" w:cs="Arial" w:eastAsia="Arial" w:hAnsi="Arial"/>
                <w:b/>
                <w:bCs/>
                <w:color w:val="FFFFFF"/>
                <w:sz w:val="26"/>
                <w:szCs w:val="26"/>
              </w:rPr>
              <w:t xml:space="preserve">Scenario 3 — Crisis Response</w:t>
            </w:r>
          </w:p>
          <w:p>
            <w:pPr>
              <w:spacing w:before="60"/>
            </w:pPr>
            <w:r>
              <w:rPr>
                <w:rFonts w:ascii="Arial" w:cs="Arial" w:eastAsia="Arial" w:hAnsi="Arial"/>
                <w:color w:val="CADCFC"/>
                <w:sz w:val="18"/>
                <w:szCs w:val="18"/>
              </w:rPr>
              <w:t xml:space="preserve">Q2 2027  |  June 14, 2027  |  Incident Declared 02:47 AM  |  Harborview_Crisis_Response_Report_Q2_2027.pptx</w:t>
            </w:r>
          </w:p>
        </w:tc>
      </w:tr>
    </w:tbl>
    <w:p>
      <w:pPr>
        <w:spacing w:after="0" w:before="160"/>
      </w:pPr>
    </w:p>
    <w:p>
      <w:pPr>
        <w:spacing w:after="100" w:before="280"/>
      </w:pPr>
      <w:r>
        <w:rPr>
          <w:rFonts w:ascii="Arial" w:cs="Arial" w:eastAsia="Arial" w:hAnsi="Arial"/>
          <w:b/>
          <w:bCs/>
          <w:color w:val="006B8C"/>
          <w:sz w:val="24"/>
          <w:szCs w:val="24"/>
        </w:rPr>
        <w:t xml:space="preserve">The Situation</w:t>
      </w:r>
    </w:p>
    <w:p>
      <w:pPr>
        <w:spacing w:after="120" w:before="60"/>
      </w:pPr>
      <w:r>
        <w:rPr>
          <w:rFonts w:ascii="Arial" w:cs="Arial" w:eastAsia="Arial" w:hAnsi="Arial"/>
          <w:color w:val="1A2B3C"/>
          <w:sz w:val="20"/>
          <w:szCs w:val="20"/>
        </w:rPr>
        <w:t xml:space="preserve">At 02:47 AM on June 14, 2027, the City of Harborview primary carrier experiences a fiber cut affecting WAN circuits at 14 Tier 1 locations. Simultaneously, the NOC detects anomalous traffic patterns consistent with a lateral movement attempt across the Public Safety network segment. It is a compound incident — infrastructure failure and security threat occurring at the same moment.</w:t>
      </w:r>
    </w:p>
    <w:p>
      <w:pPr>
        <w:spacing w:after="120" w:before="60"/>
      </w:pPr>
      <w:r>
        <w:rPr>
          <w:rFonts w:ascii="Arial" w:cs="Arial" w:eastAsia="Arial" w:hAnsi="Arial"/>
          <w:color w:val="1A2B3C"/>
          <w:sz w:val="20"/>
          <w:szCs w:val="20"/>
        </w:rPr>
        <w:t xml:space="preserve">R. Lowery activates as Incident Commander. The Network Recovery Framework is deployed within five minutes of incident declaration. The Three Lines of Defense security response is activated simultaneously.</w:t>
      </w:r>
    </w:p>
    <w:p>
      <w:pPr>
        <w:spacing w:after="100" w:before="280"/>
      </w:pPr>
      <w:r>
        <w:rPr>
          <w:rFonts w:ascii="Arial" w:cs="Arial" w:eastAsia="Arial" w:hAnsi="Arial"/>
          <w:b/>
          <w:bCs/>
          <w:color w:val="006B8C"/>
          <w:sz w:val="24"/>
          <w:szCs w:val="24"/>
        </w:rPr>
        <w:t xml:space="preserve">What This Report Demonstrates</w:t>
      </w:r>
    </w:p>
    <w:p>
      <w:pPr>
        <w:pStyle w:val="ListParagraph"/>
        <w:numPr>
          <w:ilvl w:val="0"/>
          <w:numId w:val="2"/>
        </w:numPr>
        <w:spacing w:after="40" w:before="40"/>
      </w:pPr>
      <w:r>
        <w:rPr>
          <w:rFonts w:ascii="Arial" w:cs="Arial" w:eastAsia="Arial" w:hAnsi="Arial"/>
          <w:color w:val="1A2B3C"/>
          <w:sz w:val="20"/>
          <w:szCs w:val="20"/>
        </w:rPr>
        <w:t xml:space="preserve">P1 incident command posture — Recovery Framework activated in 5 minutes, command team engaged, CIO and CISO notified within 15 minutes per escalation matrix</w:t>
      </w:r>
    </w:p>
    <w:p>
      <w:pPr>
        <w:pStyle w:val="ListParagraph"/>
        <w:numPr>
          <w:ilvl w:val="0"/>
          <w:numId w:val="2"/>
        </w:numPr>
        <w:spacing w:after="40" w:before="40"/>
      </w:pPr>
      <w:r>
        <w:rPr>
          <w:rFonts w:ascii="Arial" w:cs="Arial" w:eastAsia="Arial" w:hAnsi="Arial"/>
          <w:color w:val="1A2B3C"/>
          <w:sz w:val="20"/>
          <w:szCs w:val="20"/>
        </w:rPr>
        <w:t xml:space="preserve">Public Safety backup circuit activated — 911 routing restored to 85% capacity within 25 minutes of incident declaration — life safety impact mitigated</w:t>
      </w:r>
    </w:p>
    <w:p>
      <w:pPr>
        <w:pStyle w:val="ListParagraph"/>
        <w:numPr>
          <w:ilvl w:val="0"/>
          <w:numId w:val="2"/>
        </w:numPr>
        <w:spacing w:after="40" w:before="40"/>
      </w:pPr>
      <w:r>
        <w:rPr>
          <w:rFonts w:ascii="Arial" w:cs="Arial" w:eastAsia="Arial" w:hAnsi="Arial"/>
          <w:color w:val="1A2B3C"/>
          <w:sz w:val="20"/>
          <w:szCs w:val="20"/>
        </w:rPr>
        <w:t xml:space="preserve">Security threat contained — firewall segmentation deployed during Year One remediation successfully blocked lateral movement attempt — zero data exfiltration confirmed</w:t>
      </w:r>
    </w:p>
    <w:p>
      <w:pPr>
        <w:pStyle w:val="ListParagraph"/>
        <w:numPr>
          <w:ilvl w:val="0"/>
          <w:numId w:val="2"/>
        </w:numPr>
        <w:spacing w:after="40" w:before="40"/>
      </w:pPr>
      <w:r>
        <w:rPr>
          <w:rFonts w:ascii="Arial" w:cs="Arial" w:eastAsia="Arial" w:hAnsi="Arial"/>
          <w:color w:val="1A2B3C"/>
          <w:sz w:val="20"/>
          <w:szCs w:val="20"/>
        </w:rPr>
        <w:t xml:space="preserve">Stakeholder communications executed on schedule — 7 notifications to CIO, Mayor's office, Public Safety Commissioner, Airport Technology Director, and all 75 City technology stakeholders — all within committed timelines</w:t>
      </w:r>
    </w:p>
    <w:p>
      <w:pPr>
        <w:pStyle w:val="ListParagraph"/>
        <w:numPr>
          <w:ilvl w:val="0"/>
          <w:numId w:val="2"/>
        </w:numPr>
        <w:spacing w:after="40" w:before="40"/>
      </w:pPr>
      <w:r>
        <w:rPr>
          <w:rFonts w:ascii="Arial" w:cs="Arial" w:eastAsia="Arial" w:hAnsi="Arial"/>
          <w:color w:val="1A2B3C"/>
          <w:sz w:val="20"/>
          <w:szCs w:val="20"/>
        </w:rPr>
        <w:t xml:space="preserve">Recovery Status Dashboard — real-time availability by tier — Public Safety, Airport, City Hall, Enterprise, Administrative — updated every 30 minutes to leadership</w:t>
      </w:r>
    </w:p>
    <w:p>
      <w:pPr>
        <w:pStyle w:val="ListParagraph"/>
        <w:numPr>
          <w:ilvl w:val="0"/>
          <w:numId w:val="2"/>
        </w:numPr>
        <w:spacing w:after="40" w:before="40"/>
      </w:pPr>
      <w:r>
        <w:rPr>
          <w:rFonts w:ascii="Arial" w:cs="Arial" w:eastAsia="Arial" w:hAnsi="Arial"/>
          <w:color w:val="1A2B3C"/>
          <w:sz w:val="20"/>
          <w:szCs w:val="20"/>
        </w:rPr>
        <w:t xml:space="preserve">Post-incident accountability — root cause confirmed, corrective actions assigned with named owners and due dates, decisions required presented to CIO Taylor and Mayor Brayboy</w:t>
      </w:r>
    </w:p>
    <w:p>
      <w:pPr>
        <w:spacing w:after="100" w:before="280"/>
      </w:pPr>
      <w:r>
        <w:rPr>
          <w:rFonts w:ascii="Arial" w:cs="Arial" w:eastAsia="Arial" w:hAnsi="Arial"/>
          <w:b/>
          <w:bCs/>
          <w:color w:val="006B8C"/>
          <w:sz w:val="24"/>
          <w:szCs w:val="24"/>
        </w:rPr>
        <w:t xml:space="preserve">Key Leadership Moments</w:t>
      </w:r>
    </w:p>
    <w:p>
      <w:pPr>
        <w:spacing w:after="120" w:before="60"/>
      </w:pPr>
      <w:r>
        <w:rPr>
          <w:rFonts w:ascii="Arial" w:cs="Arial" w:eastAsia="Arial" w:hAnsi="Arial"/>
          <w:color w:val="1A2B3C"/>
          <w:sz w:val="20"/>
          <w:szCs w:val="20"/>
        </w:rPr>
        <w:t xml:space="preserve">The compound incident tests both the infrastructure recovery capability and the security response simultaneously — the most demanding scenario a Deputy CNO can face. The report demonstrates that the investments made in Year One — backup circuits, firewall segmentation, escalation matrix, runbooks, NOC monitoring — are not theoretical. They work under pressure.</w:t>
      </w:r>
    </w:p>
    <w:p>
      <w:pPr>
        <w:spacing w:after="120" w:before="60"/>
      </w:pPr>
      <w:r>
        <w:rPr>
          <w:rFonts w:ascii="Arial" w:cs="Arial" w:eastAsia="Arial" w:hAnsi="Arial"/>
          <w:color w:val="1A2B3C"/>
          <w:sz w:val="20"/>
          <w:szCs w:val="20"/>
        </w:rPr>
        <w:t xml:space="preserve">The What Worked section is as important as the Corrective Actions section. R. Lowery reports both with equal transparency — what the Year One investments delivered in a real incident, and what gaps the incident exposed that require immediate corrective action.</w:t>
      </w:r>
    </w:p>
    <w:p>
      <w:pPr>
        <w:spacing w:after="120" w:before="60"/>
      </w:pPr>
      <w:r>
        <w:rPr>
          <w:rFonts w:ascii="Arial" w:cs="Arial" w:eastAsia="Arial" w:hAnsi="Arial"/>
          <w:color w:val="1A2B3C"/>
          <w:sz w:val="20"/>
          <w:szCs w:val="20"/>
        </w:rPr>
        <w:t xml:space="preserve">The post-incident report committed to Mayor Brayboy and CIO Taylor within five business days is documented in the closing slide — not as an aspiration but as a named commitment with a date.</w:t>
      </w:r>
    </w:p>
    <w:p>
      <w:r>
        <w:br w:type="page"/>
      </w:r>
    </w:p>
    <w:p>
      <w:pPr>
        <w:spacing w:after="120" w:before="360"/>
      </w:pPr>
      <w:r>
        <w:rPr>
          <w:rFonts w:ascii="Arial" w:cs="Arial" w:eastAsia="Arial" w:hAnsi="Arial"/>
          <w:b/>
          <w:bCs/>
          <w:color w:val="0A1628"/>
          <w:sz w:val="32"/>
          <w:szCs w:val="32"/>
        </w:rPr>
        <w:t xml:space="preserve">The Leadership Arc</w:t>
      </w:r>
    </w:p>
    <w:p>
      <w:pPr>
        <w:pBdr>
          <w:bottom w:val="single" w:color="0A1628" w:sz="8" w:space="1"/>
        </w:pBdr>
        <w:spacing w:after="160" w:before="0"/>
      </w:pPr>
    </w:p>
    <w:p>
      <w:pPr>
        <w:spacing w:after="120" w:before="60"/>
      </w:pPr>
      <w:r>
        <w:rPr>
          <w:rFonts w:ascii="Arial" w:cs="Arial" w:eastAsia="Arial" w:hAnsi="Arial"/>
          <w:color w:val="1A2B3C"/>
          <w:sz w:val="20"/>
          <w:szCs w:val="20"/>
        </w:rPr>
        <w:t xml:space="preserve">The three scenarios are not independent documents. They are a continuous leadership narrative — the same Deputy CNO, the same city, the same leadership team — demonstrating consistent judgment, governance discipline, and accountability across three distinct operational moments.</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Leadership Moment</w:t>
            </w:r>
          </w:p>
        </w:tc>
        <w:tc>
          <w:tcPr>
            <w:tcW w:type="dxa" w:w="26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What It Demonstrates</w:t>
            </w:r>
          </w:p>
        </w:tc>
        <w:tc>
          <w:tcPr>
            <w:tcW w:type="dxa" w:w="26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Evidence of Excellence</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0A1628"/>
                <w:sz w:val="18"/>
                <w:szCs w:val="18"/>
              </w:rPr>
              <w:t xml:space="preserve">Q3 2026</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2B3C"/>
                <w:sz w:val="18"/>
                <w:szCs w:val="18"/>
              </w:rPr>
              <w:t xml:space="preserve">Stabilization — 90 days in</w:t>
            </w:r>
          </w:p>
        </w:tc>
        <w:tc>
          <w:tcPr>
            <w:tcW w:type="dxa" w:w="2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2B3C"/>
                <w:sz w:val="18"/>
                <w:szCs w:val="18"/>
              </w:rPr>
              <w:t xml:space="preserve">Assess honestly, establish governance, align strategy to Mayoral mandate</w:t>
            </w:r>
          </w:p>
        </w:tc>
        <w:tc>
          <w:tcPr>
            <w:tcW w:type="dxa" w:w="2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2B3C"/>
                <w:sz w:val="18"/>
                <w:szCs w:val="18"/>
              </w:rPr>
              <w:t xml:space="preserve">Transparent Red indicator reporting — no political softening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1628"/>
                <w:sz w:val="18"/>
                <w:szCs w:val="18"/>
              </w:rPr>
              <w:t xml:space="preserve">Q4 2027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18"/>
                <w:szCs w:val="18"/>
              </w:rPr>
              <w:t xml:space="preserve">Year One Complete — transformation delivered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18"/>
                <w:szCs w:val="18"/>
              </w:rPr>
              <w:t xml:space="preserve">Deliver measurable results, report accountability, extend strategic horizon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18"/>
                <w:szCs w:val="18"/>
              </w:rPr>
              <w:t xml:space="preserve">Before-and-after table — Day 1 vs. Year One — no assertion, all evidence</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0A1628"/>
                <w:sz w:val="18"/>
                <w:szCs w:val="18"/>
              </w:rPr>
              <w:t xml:space="preserve">Q2 2027</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2B3C"/>
                <w:sz w:val="18"/>
                <w:szCs w:val="18"/>
              </w:rPr>
              <w:t xml:space="preserve">Crisis Response — compound incident command</w:t>
            </w:r>
          </w:p>
        </w:tc>
        <w:tc>
          <w:tcPr>
            <w:tcW w:type="dxa" w:w="2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2B3C"/>
                <w:sz w:val="18"/>
                <w:szCs w:val="18"/>
              </w:rPr>
              <w:t xml:space="preserve">Command under pressure, protect life safety, contain threat, communicate transparently</w:t>
            </w:r>
          </w:p>
        </w:tc>
        <w:tc>
          <w:tcPr>
            <w:tcW w:type="dxa" w:w="2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2B3C"/>
                <w:sz w:val="18"/>
                <w:szCs w:val="18"/>
              </w:rPr>
              <w:t xml:space="preserve">Recovery Framework in 5 minutes — 911 routing restored in 25 minutes — zero data exfiltration</w:t>
            </w:r>
          </w:p>
        </w:tc>
      </w:tr>
    </w:tbl>
    <w:p>
      <w:pPr>
        <w:spacing w:after="120" w:before="240"/>
      </w:pPr>
    </w:p>
    <w:p>
      <w:pPr>
        <w:spacing w:after="120" w:before="60"/>
      </w:pPr>
      <w:r>
        <w:rPr>
          <w:rFonts w:ascii="Arial" w:cs="Arial" w:eastAsia="Arial" w:hAnsi="Arial"/>
          <w:color w:val="1A2B3C"/>
          <w:sz w:val="20"/>
          <w:szCs w:val="20"/>
        </w:rPr>
        <w:t xml:space="preserve">The arc from Scenario 1 to Scenario 3 demonstrates something a resume cannot: that the governance infrastructure built in Year One — backup circuits, firewall segmentation, runbooks, escalation matrix, NOC monitoring — was not theoretical. It performed under a compound incident that tested both infrastructure resilience and security posture simultaneously.</w:t>
      </w:r>
    </w:p>
    <w:p>
      <w:r>
        <w:br w:type="page"/>
      </w:r>
    </w:p>
    <w:p>
      <w:pPr>
        <w:spacing w:after="120" w:before="360"/>
      </w:pPr>
      <w:r>
        <w:rPr>
          <w:rFonts w:ascii="Arial" w:cs="Arial" w:eastAsia="Arial" w:hAnsi="Arial"/>
          <w:b/>
          <w:bCs/>
          <w:color w:val="0A1628"/>
          <w:sz w:val="32"/>
          <w:szCs w:val="32"/>
        </w:rPr>
        <w:t xml:space="preserve">Connection to Confirmed Professional Experience</w:t>
      </w:r>
    </w:p>
    <w:p>
      <w:pPr>
        <w:pBdr>
          <w:bottom w:val="single" w:color="0A1628" w:sz="8" w:space="1"/>
        </w:pBdr>
        <w:spacing w:after="160" w:before="0"/>
      </w:pPr>
    </w:p>
    <w:p>
      <w:pPr>
        <w:spacing w:after="120" w:before="60"/>
      </w:pPr>
      <w:r>
        <w:rPr>
          <w:rFonts w:ascii="Arial" w:cs="Arial" w:eastAsia="Arial" w:hAnsi="Arial"/>
          <w:color w:val="1A2B3C"/>
          <w:sz w:val="20"/>
          <w:szCs w:val="20"/>
        </w:rPr>
        <w:t xml:space="preserve">The Harborview use case is not a hypothetical exercise. Every leadership decision, governance framework, and operational standard demonstrated in these three scenarios is grounded in confirmed professional experience from the author's career — specifically the roles and accomplishments documented in the Technology Leadership Frameworks repository.</w:t>
      </w:r>
    </w:p>
    <w:p>
      <w:pPr>
        <w:spacing w:after="100" w:before="280"/>
      </w:pPr>
      <w:r>
        <w:rPr>
          <w:rFonts w:ascii="Arial" w:cs="Arial" w:eastAsia="Arial" w:hAnsi="Arial"/>
          <w:b/>
          <w:bCs/>
          <w:color w:val="006B8C"/>
          <w:sz w:val="24"/>
          <w:szCs w:val="24"/>
        </w:rPr>
        <w:t xml:space="preserve">Network Operations — GE and City of New York</w:t>
      </w:r>
    </w:p>
    <w:p>
      <w:pPr>
        <w:spacing w:after="120" w:before="60"/>
      </w:pPr>
      <w:r>
        <w:rPr>
          <w:rFonts w:ascii="Arial" w:cs="Arial" w:eastAsia="Arial" w:hAnsi="Arial"/>
          <w:color w:val="1A2B3C"/>
          <w:sz w:val="20"/>
          <w:szCs w:val="20"/>
        </w:rPr>
        <w:t xml:space="preserve">The 24/7 NOC governance model, shift handoff standards, escalation matrix, and runbook framework demonstrated in Scenario 1 reflect the author's direct experience building and governing an enterprise NOC at GE — directing WAN, firewall, VPN, DNS, telecom, and data center operations. The Automated Service Health Monitoring transition from device-based to service-based operations demonstrated in the Q3 2026 Executive Summary reflects the same work performed as Agency CIO/CISO at the City of New York Department of Consumer Affairs.</w:t>
      </w:r>
    </w:p>
    <w:p>
      <w:pPr>
        <w:spacing w:after="100" w:before="280"/>
      </w:pPr>
      <w:r>
        <w:rPr>
          <w:rFonts w:ascii="Arial" w:cs="Arial" w:eastAsia="Arial" w:hAnsi="Arial"/>
          <w:b/>
          <w:bCs/>
          <w:color w:val="006B8C"/>
          <w:sz w:val="24"/>
          <w:szCs w:val="24"/>
        </w:rPr>
        <w:t xml:space="preserve">Crisis Response — Three Lines of Defense</w:t>
      </w:r>
    </w:p>
    <w:p>
      <w:pPr>
        <w:spacing w:after="120" w:before="60"/>
      </w:pPr>
      <w:r>
        <w:rPr>
          <w:rFonts w:ascii="Arial" w:cs="Arial" w:eastAsia="Arial" w:hAnsi="Arial"/>
          <w:color w:val="1A2B3C"/>
          <w:sz w:val="20"/>
          <w:szCs w:val="20"/>
        </w:rPr>
        <w:t xml:space="preserve">The Scenario 3 crisis command posture — simultaneous infrastructure recovery and security threat response — reflects the Three Lines of Defense cybersecurity framework deployed at the City of New York DCA, where 613 critical and high security issues were identified and resolved. The firewall segmentation that contained the lateral movement attempt in Scenario 3 is the same control architecture built and governed in the actual CIO/CISO role.</w:t>
      </w:r>
    </w:p>
    <w:p>
      <w:pPr>
        <w:spacing w:after="100" w:before="280"/>
      </w:pPr>
      <w:r>
        <w:rPr>
          <w:rFonts w:ascii="Arial" w:cs="Arial" w:eastAsia="Arial" w:hAnsi="Arial"/>
          <w:b/>
          <w:bCs/>
          <w:color w:val="006B8C"/>
          <w:sz w:val="24"/>
          <w:szCs w:val="24"/>
        </w:rPr>
        <w:t xml:space="preserve">Executive Reporting — DCA Historical Reference</w:t>
      </w:r>
    </w:p>
    <w:p>
      <w:pPr>
        <w:spacing w:after="120" w:before="60"/>
      </w:pPr>
      <w:r>
        <w:rPr>
          <w:rFonts w:ascii="Arial" w:cs="Arial" w:eastAsia="Arial" w:hAnsi="Arial"/>
          <w:color w:val="1A2B3C"/>
          <w:sz w:val="20"/>
          <w:szCs w:val="20"/>
        </w:rPr>
        <w:t xml:space="preserve">The executive status report format used across all three Harborview scenarios — Red/Yellow/Green health indicators, named resource allocation by percentage, Mayoral Initiative tracking, project scorecard transparency — is the same reporting standard the author used as Agency CIO/CISO for the City of New York in 2016. The DCA Technology Solutions Group Executive Status Report included in the historical-reference folder of this repository is an actual document from that engagement, with names redacted.</w:t>
      </w:r>
    </w:p>
    <w:p>
      <w:pPr>
        <w:spacing w:after="100" w:before="280"/>
      </w:pPr>
      <w:r>
        <w:rPr>
          <w:rFonts w:ascii="Arial" w:cs="Arial" w:eastAsia="Arial" w:hAnsi="Arial"/>
          <w:b/>
          <w:bCs/>
          <w:color w:val="006B8C"/>
          <w:sz w:val="24"/>
          <w:szCs w:val="24"/>
        </w:rPr>
        <w:t xml:space="preserve">Governance Transformation — The Salvation Army and BNY Mellon</w:t>
      </w:r>
    </w:p>
    <w:p>
      <w:pPr>
        <w:spacing w:after="120" w:before="60"/>
      </w:pPr>
      <w:r>
        <w:rPr>
          <w:rFonts w:ascii="Arial" w:cs="Arial" w:eastAsia="Arial" w:hAnsi="Arial"/>
          <w:color w:val="1A2B3C"/>
          <w:sz w:val="20"/>
          <w:szCs w:val="20"/>
        </w:rPr>
        <w:t xml:space="preserve">The Year One transformation delivered in Scenario 2 — $7.5M+ in portfolio savings, 92% on-time delivery, governance framework built from zero — mirrors the documented transformation delivered at The Salvation Army Eastern Territory, where the author built a PMO from zero, resolved a seven-year ERP implementation backlog, and delivered measurable savings within two years. The 90% reduction in audit findings demonstrated in the BNY Mellon role provides the governance discipline foundation for the NIST 800-53 compliance trajectory shown in Scenario 2.</w:t>
      </w:r>
    </w:p>
    <w:p>
      <w:r>
        <w:br w:type="page"/>
      </w:r>
    </w:p>
    <w:p>
      <w:pPr>
        <w:spacing w:after="120" w:before="360"/>
      </w:pPr>
      <w:r>
        <w:rPr>
          <w:rFonts w:ascii="Arial" w:cs="Arial" w:eastAsia="Arial" w:hAnsi="Arial"/>
          <w:b/>
          <w:bCs/>
          <w:color w:val="0A1628"/>
          <w:sz w:val="32"/>
          <w:szCs w:val="32"/>
        </w:rPr>
        <w:t xml:space="preserve">How to Use This Portfolio</w:t>
      </w:r>
    </w:p>
    <w:p>
      <w:pPr>
        <w:pBdr>
          <w:bottom w:val="single" w:color="0A1628" w:sz="8" w:space="1"/>
        </w:pBdr>
        <w:spacing w:after="160" w:before="0"/>
      </w:pPr>
    </w:p>
    <w:p>
      <w:pPr>
        <w:spacing w:after="120" w:before="60"/>
      </w:pPr>
      <w:r>
        <w:rPr>
          <w:rFonts w:ascii="Arial" w:cs="Arial" w:eastAsia="Arial" w:hAnsi="Arial"/>
          <w:color w:val="1A2B3C"/>
          <w:sz w:val="20"/>
          <w:szCs w:val="20"/>
        </w:rPr>
        <w:t xml:space="preserve">The Harborview Executive Use Case Series is designed to be used alongside the Technology Leadership Frameworks repository as a complete professional portfolio. The two assets serve different purposes and together answer the full question a hiring executive needs answered.</w:t>
      </w:r>
    </w:p>
    <w:p>
      <w:pPr>
        <w:spacing w:after="100" w:before="280"/>
      </w:pPr>
      <w:r>
        <w:rPr>
          <w:rFonts w:ascii="Arial" w:cs="Arial" w:eastAsia="Arial" w:hAnsi="Arial"/>
          <w:b/>
          <w:bCs/>
          <w:color w:val="006B8C"/>
          <w:sz w:val="24"/>
          <w:szCs w:val="24"/>
        </w:rPr>
        <w:t xml:space="preserve">The Frameworks Answer: How Do You Think?</w:t>
      </w:r>
    </w:p>
    <w:p>
      <w:pPr>
        <w:spacing w:after="120" w:before="60"/>
      </w:pPr>
      <w:r>
        <w:rPr>
          <w:rFonts w:ascii="Arial" w:cs="Arial" w:eastAsia="Arial" w:hAnsi="Arial"/>
          <w:color w:val="1A2B3C"/>
          <w:sz w:val="20"/>
          <w:szCs w:val="20"/>
        </w:rPr>
        <w:t xml:space="preserve">The ten framework documents demonstrate the governance methodology, risk approach, reporting standards, and operational doctrine the author brings to a Deputy CNO role. They show how the author structures problems, assigns accountability, measures performance, and communicates with stakeholders. A reviewer reading the frameworks understands the operating model before any interview takes place.</w:t>
      </w:r>
    </w:p>
    <w:p>
      <w:pPr>
        <w:spacing w:after="100" w:before="280"/>
      </w:pPr>
      <w:r>
        <w:rPr>
          <w:rFonts w:ascii="Arial" w:cs="Arial" w:eastAsia="Arial" w:hAnsi="Arial"/>
          <w:b/>
          <w:bCs/>
          <w:color w:val="006B8C"/>
          <w:sz w:val="24"/>
          <w:szCs w:val="24"/>
        </w:rPr>
        <w:t xml:space="preserve">The Use Cases Answer: What Do You Do?</w:t>
      </w:r>
    </w:p>
    <w:p>
      <w:pPr>
        <w:spacing w:after="120" w:before="60"/>
      </w:pPr>
      <w:r>
        <w:rPr>
          <w:rFonts w:ascii="Arial" w:cs="Arial" w:eastAsia="Arial" w:hAnsi="Arial"/>
          <w:color w:val="1A2B3C"/>
          <w:sz w:val="20"/>
          <w:szCs w:val="20"/>
        </w:rPr>
        <w:t xml:space="preserve">The three Harborview reports demonstrate the frameworks in action — applied to a real-scale municipal environment under three different conditions. A reviewer reading the use cases understands not just what the author would do, but what the author has already done — in format, in posture, and in the specific decisions made at each stage.</w:t>
      </w:r>
    </w:p>
    <w:p>
      <w:pPr>
        <w:spacing w:after="100" w:before="280"/>
      </w:pPr>
      <w:r>
        <w:rPr>
          <w:rFonts w:ascii="Arial" w:cs="Arial" w:eastAsia="Arial" w:hAnsi="Arial"/>
          <w:b/>
          <w:bCs/>
          <w:color w:val="006B8C"/>
          <w:sz w:val="24"/>
          <w:szCs w:val="24"/>
        </w:rPr>
        <w:t xml:space="preserve">The Historical Reference Answers: Have You Done This Before?</w:t>
      </w:r>
    </w:p>
    <w:p>
      <w:pPr>
        <w:spacing w:after="120" w:before="60"/>
      </w:pPr>
      <w:r>
        <w:rPr>
          <w:rFonts w:ascii="Arial" w:cs="Arial" w:eastAsia="Arial" w:hAnsi="Arial"/>
          <w:color w:val="1A2B3C"/>
          <w:sz w:val="20"/>
          <w:szCs w:val="20"/>
        </w:rPr>
        <w:t xml:space="preserve">The DCA 2016 Executive Status Report answers the authenticity question. The format, the Red indicators, the resource allocation by percentage, the Mayoral Initiative tracking — these are not constructed for the portfolio. They are a decade-old artifact of active government technology leadership at a City agency serving 8.6 million residents.</w:t>
      </w:r>
    </w:p>
    <w:p>
      <w:pPr>
        <w:spacing w:after="100" w:before="280"/>
      </w:pPr>
      <w:r>
        <w:rPr>
          <w:rFonts w:ascii="Arial" w:cs="Arial" w:eastAsia="Arial" w:hAnsi="Arial"/>
          <w:b/>
          <w:bCs/>
          <w:color w:val="006B8C"/>
          <w:sz w:val="24"/>
          <w:szCs w:val="24"/>
        </w:rPr>
        <w:t xml:space="preserve">Together They Answer: Is This the Right Leader?</w:t>
      </w:r>
    </w:p>
    <w:p>
      <w:pPr>
        <w:spacing w:after="120" w:before="60"/>
      </w:pPr>
      <w:r>
        <w:rPr>
          <w:rFonts w:ascii="Arial" w:cs="Arial" w:eastAsia="Arial" w:hAnsi="Arial"/>
          <w:color w:val="1A2B3C"/>
          <w:sz w:val="20"/>
          <w:szCs w:val="20"/>
        </w:rPr>
        <w:t xml:space="preserve">The combination of frameworks, use cases, and historical reference provides a complete picture of a technology leader who has operated at City government scale, built governance where none existed, delivered measurable results, and commanded a real-time crisis response. That is the answer to the question the Deputy Chief Networking Officer search is designed to answer.</w:t>
      </w:r>
    </w:p>
    <w:p>
      <w:pPr>
        <w:spacing w:after="120" w:before="480"/>
      </w:pPr>
    </w:p>
    <w:p>
      <w:pPr>
        <w:pBdr>
          <w:bottom w:val="single" w:color="006B8C" w:sz="8" w:space="1"/>
        </w:pBdr>
        <w:spacing w:after="160" w:before="0"/>
      </w:pPr>
    </w:p>
    <w:p>
      <w:pPr>
        <w:spacing w:after="80" w:before="160"/>
        <w:jc w:val="center"/>
      </w:pPr>
      <w:r>
        <w:rPr>
          <w:rFonts w:ascii="Arial" w:cs="Arial" w:eastAsia="Arial" w:hAnsi="Arial"/>
          <w:b/>
          <w:bCs/>
          <w:color w:val="006B8C"/>
          <w:sz w:val="20"/>
          <w:szCs w:val="20"/>
        </w:rPr>
        <w:t xml:space="preserve">github.com/RL526/technology-leadership-frameworks</w:t>
      </w:r>
    </w:p>
    <w:p>
      <w:pPr>
        <w:spacing w:after="80" w:before="0"/>
        <w:jc w:val="center"/>
      </w:pPr>
      <w:r>
        <w:rPr>
          <w:rFonts w:ascii="Arial" w:cs="Arial" w:eastAsia="Arial" w:hAnsi="Arial"/>
          <w:color w:val="4A5568"/>
          <w:sz w:val="18"/>
          <w:szCs w:val="18"/>
        </w:rPr>
        <w:t xml:space="preserve">[Candidate Name]  |  Deputy Chief Networking Officer Candidate  |  City of Philadelphia OIT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2026-06-12T08:31:28.838Z</dcterms:created>
  <dcterms:modified xsi:type="dcterms:W3CDTF">2026-06-12T08:31:28.850Z</dcterms:modified>
</cp:coreProperties>
</file>

<file path=docProps/custom.xml><?xml version="1.0" encoding="utf-8"?>
<Properties xmlns="http://schemas.openxmlformats.org/officeDocument/2006/custom-properties" xmlns:vt="http://schemas.openxmlformats.org/officeDocument/2006/docPropsVTypes"/>
</file>