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1303500</wp:posOffset>
            </wp:positionH>
            <wp:positionV relativeFrom="paragraph">
              <wp:posOffset>104775</wp:posOffset>
            </wp:positionV>
            <wp:extent cx="3125598" cy="1077372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598" cy="1077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  <w:sz w:val="38"/>
          <w:szCs w:val="38"/>
        </w:rPr>
      </w:pPr>
      <w:r w:rsidDel="00000000" w:rsidR="00000000" w:rsidRPr="00000000">
        <w:rPr>
          <w:rFonts w:ascii="Ubuntu" w:cs="Ubuntu" w:eastAsia="Ubuntu" w:hAnsi="Ubuntu"/>
          <w:sz w:val="38"/>
          <w:szCs w:val="38"/>
          <w:rtl w:val="0"/>
        </w:rPr>
        <w:t xml:space="preserve">Évaluation stagiaire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  <w:color w:val="ed7d31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Objectif opérationnel : Maîtrise et fonctionnalités du module </w:t>
      </w:r>
      <w:r w:rsidDel="00000000" w:rsidR="00000000" w:rsidRPr="00000000">
        <w:rPr>
          <w:rFonts w:ascii="Ubuntu" w:cs="Ubuntu" w:eastAsia="Ubuntu" w:hAnsi="Ubuntu"/>
          <w:color w:val="ed7d31"/>
          <w:rtl w:val="0"/>
        </w:rPr>
        <w:t xml:space="preserve">MIGRATION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Ubuntu" w:cs="Ubuntu" w:eastAsia="Ubuntu" w:hAnsi="Ubuntu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Date : Décembre 2020 - Janvier 2021 </w:t>
        <w:tab/>
        <w:tab/>
        <w:tab/>
        <w:t xml:space="preserve">Lieu de formation : Subteno IT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Intitulé du module suivi : Service Migration Subteno IT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 du stagiaire : …...……………………………………………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Société : ………………………………………………………………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 : Non évalué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 : Insuffisant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 : Moyen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4 : Bien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5 : Très bien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26690391458" w:type="dxa"/>
        <w:jc w:val="left"/>
        <w:tblInd w:w="-572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3750"/>
        <w:gridCol w:w="1350"/>
        <w:gridCol w:w="1380.927491103203"/>
        <w:gridCol w:w="1241.6997330960855"/>
        <w:gridCol w:w="1241.6997330960855"/>
        <w:gridCol w:w="1241.6997330960855"/>
        <w:tblGridChange w:id="0">
          <w:tblGrid>
            <w:gridCol w:w="3750"/>
            <w:gridCol w:w="1350"/>
            <w:gridCol w:w="1380.927491103203"/>
            <w:gridCol w:w="1241.6997330960855"/>
            <w:gridCol w:w="1241.6997330960855"/>
            <w:gridCol w:w="1241.6997330960855"/>
          </w:tblGrid>
        </w:tblGridChange>
      </w:tblGrid>
      <w:tr>
        <w:tc>
          <w:tcPr>
            <w:tcBorders>
              <w:bottom w:color="434343" w:space="0" w:sz="4" w:val="single"/>
            </w:tcBorders>
            <w:shd w:fill="209dad" w:val="clea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4" w:val="single"/>
            </w:tcBorders>
            <w:shd w:fill="209dad" w:val="clear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bottom w:color="434343" w:space="0" w:sz="4" w:val="single"/>
            </w:tcBorders>
            <w:shd w:fill="209dad" w:val="clear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bottom w:color="434343" w:space="0" w:sz="4" w:val="single"/>
            </w:tcBorders>
            <w:shd w:fill="209dad" w:val="clea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bottom w:color="434343" w:space="0" w:sz="4" w:val="single"/>
            </w:tcBorders>
            <w:shd w:fill="209dad" w:val="clea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bottom w:color="434343" w:space="0" w:sz="4" w:val="single"/>
            </w:tcBorders>
            <w:shd w:fill="209dad" w:val="clea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rtl w:val="0"/>
              </w:rPr>
              <w:t xml:space="preserve">5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Connaissances Python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Connaissances SQL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Connaissances Linux</w:t>
            </w:r>
          </w:p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Gitlab et son workflow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Outil de versionning Git</w:t>
            </w:r>
          </w:p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Connaissances Odoo</w:t>
            </w:r>
          </w:p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Connaissances XML</w:t>
            </w:r>
          </w:p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Connaissances Javascript</w:t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Connaissances fonctionnelles Odoo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Compréhension de l’ORM</w:t>
            </w:r>
          </w:p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Gestion de projet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gridSpan w:val="6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6d9eeb" w:val="clear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rtl w:val="0"/>
              </w:rPr>
              <w:t xml:space="preserve">SAVOIR ÊTRE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20" w:before="120" w:line="240" w:lineRule="auto"/>
              <w:rPr>
                <w:rFonts w:ascii="Ubuntu" w:cs="Ubuntu" w:eastAsia="Ubuntu" w:hAnsi="Ubuntu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000000"/>
                <w:sz w:val="16"/>
                <w:szCs w:val="16"/>
                <w:rtl w:val="0"/>
              </w:rPr>
              <w:t xml:space="preserve">Relations client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Lines w:val="1"/>
              <w:widowControl w:val="0"/>
              <w:spacing w:after="120" w:before="120" w:line="240" w:lineRule="auto"/>
              <w:ind w:left="0" w:firstLine="0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rtl w:val="0"/>
              </w:rPr>
              <w:t xml:space="preserve">Qualités relationnelles et de communication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120" w:before="120" w:line="240" w:lineRule="auto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000000"/>
                <w:sz w:val="16"/>
                <w:szCs w:val="16"/>
                <w:rtl w:val="0"/>
              </w:rPr>
              <w:t xml:space="preserve">Esprit d'équipe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Lines w:val="1"/>
              <w:widowControl w:val="0"/>
              <w:spacing w:after="120" w:before="120" w:line="240" w:lineRule="auto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rtl w:val="0"/>
              </w:rPr>
              <w:t xml:space="preserve">Qualités relationnelles et de communication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Lines w:val="1"/>
              <w:widowControl w:val="0"/>
              <w:spacing w:after="120" w:before="120" w:line="240" w:lineRule="auto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rtl w:val="0"/>
              </w:rPr>
              <w:t xml:space="preserve">Volonté de se former, de progresser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Lines w:val="1"/>
              <w:widowControl w:val="0"/>
              <w:spacing w:after="120" w:before="120" w:line="240" w:lineRule="auto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rtl w:val="0"/>
              </w:rPr>
              <w:t xml:space="preserve">Capacité à former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Lines w:val="1"/>
              <w:widowControl w:val="0"/>
              <w:spacing w:after="120" w:before="120" w:line="240" w:lineRule="auto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rtl w:val="0"/>
              </w:rPr>
              <w:t xml:space="preserve">Ecoute, disponibilité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Lines w:val="1"/>
              <w:widowControl w:val="0"/>
              <w:spacing w:after="120" w:before="120" w:line="240" w:lineRule="auto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rtl w:val="0"/>
              </w:rPr>
              <w:t xml:space="preserve">Force de proposition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Lines w:val="1"/>
              <w:widowControl w:val="0"/>
              <w:spacing w:after="120" w:before="120" w:line="240" w:lineRule="auto"/>
              <w:rPr>
                <w:rFonts w:ascii="Ubuntu" w:cs="Ubuntu" w:eastAsia="Ubuntu" w:hAnsi="Ubuntu"/>
                <w:color w:val="000000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rtl w:val="0"/>
              </w:rPr>
              <w:t xml:space="preserve">Réaction positive face aux difficultés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after="120" w:before="120"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widowControl w:val="0"/>
        <w:tabs>
          <w:tab w:val="left" w:pos="567"/>
        </w:tabs>
        <w:spacing w:after="120" w:before="48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434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434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2434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