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418"/>
      </w:tblGrid>
      <w:tr w:rsidR="00A44FFC" w:rsidRPr="00EE3C9B">
        <w:trPr>
          <w:trHeight w:val="360"/>
        </w:trPr>
        <w:tc>
          <w:tcPr>
            <w:tcW w:w="1984" w:type="dxa"/>
            <w:shd w:val="clear" w:color="auto" w:fill="auto"/>
            <w:vAlign w:val="center"/>
          </w:tcPr>
          <w:p w:rsidR="00A44FFC" w:rsidRPr="00EE3C9B" w:rsidRDefault="00A44FFC" w:rsidP="00EE3C9B">
            <w:pPr>
              <w:rPr>
                <w:rFonts w:ascii="Century Gothic" w:hAnsi="Century Gothic"/>
                <w:szCs w:val="20"/>
              </w:rPr>
            </w:pPr>
            <w:bookmarkStart w:id="0" w:name="_GoBack"/>
            <w:bookmarkEnd w:id="0"/>
            <w:r w:rsidRPr="00EE3C9B">
              <w:rPr>
                <w:rFonts w:ascii="Century Gothic" w:hAnsi="Century Gothic"/>
                <w:szCs w:val="20"/>
              </w:rPr>
              <w:t>Sede</w:t>
            </w:r>
          </w:p>
        </w:tc>
        <w:tc>
          <w:tcPr>
            <w:tcW w:w="1418" w:type="dxa"/>
            <w:shd w:val="clear" w:color="auto" w:fill="auto"/>
            <w:vAlign w:val="center"/>
          </w:tcPr>
          <w:p w:rsidR="00A44FFC" w:rsidRPr="00EE3C9B" w:rsidRDefault="00A44FFC" w:rsidP="00EE3C9B">
            <w:pPr>
              <w:jc w:val="center"/>
              <w:rPr>
                <w:rFonts w:ascii="Century Gothic" w:hAnsi="Century Gothic"/>
                <w:szCs w:val="20"/>
              </w:rPr>
            </w:pPr>
            <w:r w:rsidRPr="00EE3C9B">
              <w:rPr>
                <w:rFonts w:ascii="Century Gothic" w:hAnsi="Century Gothic"/>
                <w:szCs w:val="20"/>
              </w:rPr>
              <w:t>Coruña (A)</w:t>
            </w:r>
          </w:p>
        </w:tc>
      </w:tr>
      <w:tr w:rsidR="00A44FFC" w:rsidRPr="00EE3C9B">
        <w:trPr>
          <w:trHeight w:val="360"/>
        </w:trPr>
        <w:tc>
          <w:tcPr>
            <w:tcW w:w="1984" w:type="dxa"/>
            <w:shd w:val="clear" w:color="auto" w:fill="auto"/>
            <w:vAlign w:val="center"/>
          </w:tcPr>
          <w:p w:rsidR="00A44FFC" w:rsidRPr="00EE3C9B" w:rsidRDefault="00A44FFC" w:rsidP="00EE3C9B">
            <w:pPr>
              <w:rPr>
                <w:rFonts w:ascii="Century Gothic" w:hAnsi="Century Gothic"/>
                <w:szCs w:val="20"/>
              </w:rPr>
            </w:pPr>
            <w:r w:rsidRPr="00EE3C9B">
              <w:rPr>
                <w:rFonts w:ascii="Century Gothic" w:hAnsi="Century Gothic"/>
                <w:szCs w:val="20"/>
              </w:rPr>
              <w:t>Sección</w:t>
            </w:r>
          </w:p>
        </w:tc>
        <w:tc>
          <w:tcPr>
            <w:tcW w:w="1418" w:type="dxa"/>
            <w:shd w:val="clear" w:color="auto" w:fill="auto"/>
            <w:vAlign w:val="center"/>
          </w:tcPr>
          <w:p w:rsidR="00A44FFC" w:rsidRPr="00EE3C9B" w:rsidRDefault="00A44FFC" w:rsidP="00EE3C9B">
            <w:pPr>
              <w:jc w:val="center"/>
              <w:rPr>
                <w:rFonts w:ascii="Century Gothic" w:hAnsi="Century Gothic"/>
                <w:szCs w:val="20"/>
              </w:rPr>
            </w:pPr>
            <w:r w:rsidRPr="00EE3C9B">
              <w:rPr>
                <w:rFonts w:ascii="Century Gothic" w:hAnsi="Century Gothic"/>
                <w:szCs w:val="20"/>
              </w:rPr>
              <w:t>1</w:t>
            </w:r>
          </w:p>
        </w:tc>
      </w:tr>
    </w:tbl>
    <w:p w:rsidR="00A44FFC" w:rsidRPr="00A44FFC" w:rsidRDefault="00A44FFC" w:rsidP="00A44FFC">
      <w:pPr>
        <w:rPr>
          <w:rFonts w:ascii="Century Gothic" w:hAnsi="Century Gothic"/>
          <w:szCs w:val="20"/>
        </w:rPr>
      </w:pPr>
    </w:p>
    <w:tbl>
      <w:tblPr>
        <w:tblW w:w="340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418"/>
      </w:tblGrid>
      <w:tr w:rsidR="00A44FFC" w:rsidRPr="00EE3C9B">
        <w:trPr>
          <w:trHeight w:val="360"/>
          <w:jc w:val="right"/>
        </w:trPr>
        <w:tc>
          <w:tcPr>
            <w:tcW w:w="1984" w:type="dxa"/>
            <w:shd w:val="clear" w:color="auto" w:fill="auto"/>
            <w:vAlign w:val="center"/>
          </w:tcPr>
          <w:p w:rsidR="00A44FFC" w:rsidRPr="00EE3C9B" w:rsidRDefault="00A44FFC" w:rsidP="00EE3C9B">
            <w:pPr>
              <w:rPr>
                <w:rFonts w:ascii="Century Gothic" w:hAnsi="Century Gothic"/>
                <w:szCs w:val="20"/>
              </w:rPr>
            </w:pPr>
            <w:r w:rsidRPr="00EE3C9B">
              <w:rPr>
                <w:rFonts w:ascii="Century Gothic" w:hAnsi="Century Gothic"/>
                <w:szCs w:val="20"/>
              </w:rPr>
              <w:lastRenderedPageBreak/>
              <w:t>Nº de Recurso</w:t>
            </w:r>
          </w:p>
        </w:tc>
        <w:tc>
          <w:tcPr>
            <w:tcW w:w="1418" w:type="dxa"/>
            <w:shd w:val="clear" w:color="auto" w:fill="auto"/>
            <w:vAlign w:val="center"/>
          </w:tcPr>
          <w:p w:rsidR="00A44FFC" w:rsidRPr="00EE3C9B" w:rsidRDefault="00A44FFC" w:rsidP="00EE3C9B">
            <w:pPr>
              <w:jc w:val="center"/>
              <w:rPr>
                <w:rFonts w:ascii="Century Gothic" w:hAnsi="Century Gothic"/>
                <w:szCs w:val="20"/>
              </w:rPr>
            </w:pPr>
            <w:r w:rsidRPr="00EE3C9B">
              <w:rPr>
                <w:rFonts w:ascii="Century Gothic" w:hAnsi="Century Gothic"/>
                <w:szCs w:val="20"/>
              </w:rPr>
              <w:t>153/2010</w:t>
            </w:r>
          </w:p>
        </w:tc>
      </w:tr>
      <w:tr w:rsidR="00A44FFC" w:rsidRPr="00EE3C9B">
        <w:trPr>
          <w:trHeight w:val="360"/>
          <w:jc w:val="right"/>
        </w:trPr>
        <w:tc>
          <w:tcPr>
            <w:tcW w:w="1984" w:type="dxa"/>
            <w:shd w:val="clear" w:color="auto" w:fill="auto"/>
            <w:vAlign w:val="center"/>
          </w:tcPr>
          <w:p w:rsidR="00A44FFC" w:rsidRPr="00EE3C9B" w:rsidRDefault="00A44FFC" w:rsidP="00EE3C9B">
            <w:pPr>
              <w:rPr>
                <w:rFonts w:ascii="Century Gothic" w:hAnsi="Century Gothic"/>
                <w:szCs w:val="20"/>
              </w:rPr>
            </w:pPr>
            <w:r w:rsidRPr="00EE3C9B">
              <w:rPr>
                <w:rFonts w:ascii="Century Gothic" w:hAnsi="Century Gothic"/>
                <w:szCs w:val="20"/>
              </w:rPr>
              <w:t>Nº de Resolución</w:t>
            </w:r>
          </w:p>
        </w:tc>
        <w:tc>
          <w:tcPr>
            <w:tcW w:w="1418" w:type="dxa"/>
            <w:shd w:val="clear" w:color="auto" w:fill="auto"/>
            <w:vAlign w:val="center"/>
          </w:tcPr>
          <w:p w:rsidR="00A44FFC" w:rsidRPr="00EE3C9B" w:rsidRDefault="00A44FFC" w:rsidP="00EE3C9B">
            <w:pPr>
              <w:jc w:val="center"/>
              <w:rPr>
                <w:rFonts w:ascii="Century Gothic" w:hAnsi="Century Gothic"/>
                <w:szCs w:val="20"/>
              </w:rPr>
            </w:pPr>
            <w:r w:rsidRPr="00EE3C9B">
              <w:rPr>
                <w:rFonts w:ascii="Century Gothic" w:hAnsi="Century Gothic"/>
                <w:szCs w:val="20"/>
              </w:rPr>
              <w:t>1194/2010</w:t>
            </w:r>
          </w:p>
        </w:tc>
      </w:tr>
    </w:tbl>
    <w:p w:rsidR="00D40363" w:rsidRDefault="00D40363" w:rsidP="00A44FFC">
      <w:pPr>
        <w:spacing w:before="240"/>
        <w:jc w:val="center"/>
        <w:rPr>
          <w:rFonts w:ascii="Century Gothic" w:hAnsi="Century Gothic"/>
          <w:b/>
          <w:szCs w:val="20"/>
        </w:rPr>
        <w:sectPr w:rsidR="00D40363" w:rsidSect="00D40363">
          <w:headerReference w:type="default" r:id="rId8"/>
          <w:footerReference w:type="default" r:id="rId9"/>
          <w:endnotePr>
            <w:numFmt w:val="lowerLetter"/>
          </w:endnotePr>
          <w:pgSz w:w="11906" w:h="16838" w:code="9"/>
          <w:pgMar w:top="1418" w:right="1134" w:bottom="1418" w:left="1134" w:header="709" w:footer="709" w:gutter="0"/>
          <w:cols w:num="2" w:space="708"/>
          <w:docGrid w:linePitch="360"/>
        </w:sectPr>
      </w:pPr>
    </w:p>
    <w:p w:rsidR="00A44FFC" w:rsidRPr="00A44FFC" w:rsidRDefault="00A44FFC" w:rsidP="00A44FFC">
      <w:pPr>
        <w:spacing w:before="240"/>
        <w:jc w:val="center"/>
        <w:rPr>
          <w:rFonts w:ascii="Century Gothic" w:hAnsi="Century Gothic"/>
          <w:b/>
          <w:szCs w:val="20"/>
        </w:rPr>
      </w:pPr>
      <w:r w:rsidRPr="00A44FFC">
        <w:rPr>
          <w:rFonts w:ascii="Century Gothic" w:hAnsi="Century Gothic"/>
          <w:b/>
          <w:szCs w:val="20"/>
        </w:rPr>
        <w:lastRenderedPageBreak/>
        <w:t>EN NOMBRE DEL REY</w:t>
      </w:r>
    </w:p>
    <w:p w:rsidR="00A44FFC" w:rsidRPr="00A44FFC" w:rsidRDefault="00A44FFC" w:rsidP="00A44FFC">
      <w:pPr>
        <w:spacing w:before="240"/>
        <w:jc w:val="center"/>
        <w:rPr>
          <w:rFonts w:ascii="Century Gothic" w:hAnsi="Century Gothic"/>
          <w:szCs w:val="20"/>
        </w:rPr>
      </w:pPr>
      <w:r w:rsidRPr="00A44FFC">
        <w:rPr>
          <w:rFonts w:ascii="Century Gothic" w:hAnsi="Century Gothic"/>
          <w:szCs w:val="20"/>
        </w:rPr>
        <w:t>La Sección Primera de la Sala de lo Contencioso-Administrativo del Tribunal Superior de Justicia ha pronunciado la</w:t>
      </w:r>
    </w:p>
    <w:p w:rsidR="00A44FFC" w:rsidRPr="00A44FFC" w:rsidRDefault="00A44FFC" w:rsidP="00A44FFC">
      <w:pPr>
        <w:spacing w:before="240"/>
        <w:jc w:val="center"/>
        <w:rPr>
          <w:rFonts w:ascii="Century Gothic" w:hAnsi="Century Gothic"/>
          <w:b/>
          <w:szCs w:val="20"/>
        </w:rPr>
      </w:pPr>
      <w:r w:rsidRPr="00A44FFC">
        <w:rPr>
          <w:rFonts w:ascii="Century Gothic" w:hAnsi="Century Gothic"/>
          <w:b/>
          <w:szCs w:val="20"/>
        </w:rPr>
        <w:t>SENTENCIA</w:t>
      </w:r>
    </w:p>
    <w:p w:rsidR="00A44FFC" w:rsidRPr="00A44FFC" w:rsidRDefault="00A44FFC" w:rsidP="00A44FFC">
      <w:pPr>
        <w:spacing w:before="240" w:line="360" w:lineRule="auto"/>
        <w:jc w:val="both"/>
        <w:rPr>
          <w:rFonts w:ascii="Century Gothic" w:hAnsi="Century Gothic"/>
          <w:b/>
          <w:szCs w:val="20"/>
          <w:u w:val="double"/>
          <w:lang w:val="en-US"/>
        </w:rPr>
      </w:pPr>
      <w:r w:rsidRPr="00A44FFC">
        <w:rPr>
          <w:rFonts w:ascii="Century Gothic" w:hAnsi="Century Gothic"/>
          <w:b/>
          <w:szCs w:val="20"/>
          <w:u w:val="double"/>
          <w:lang w:val="en-US"/>
        </w:rPr>
        <w:t>ILMOS./AS. SRES./AS. D./Dª</w:t>
      </w:r>
    </w:p>
    <w:p w:rsidR="00A44FFC" w:rsidRPr="00A44FFC" w:rsidRDefault="00A44FFC" w:rsidP="00A44FFC">
      <w:pPr>
        <w:numPr>
          <w:ilvl w:val="0"/>
          <w:numId w:val="24"/>
        </w:numPr>
        <w:spacing w:line="360" w:lineRule="auto"/>
        <w:jc w:val="both"/>
        <w:rPr>
          <w:rFonts w:ascii="Century Gothic" w:hAnsi="Century Gothic"/>
          <w:szCs w:val="20"/>
        </w:rPr>
      </w:pPr>
      <w:r w:rsidRPr="00A44FFC">
        <w:rPr>
          <w:rFonts w:ascii="Century Gothic" w:hAnsi="Century Gothic"/>
          <w:szCs w:val="20"/>
        </w:rPr>
        <w:t>Fernando Seoane Pesqueira.</w:t>
      </w:r>
      <w:r w:rsidR="007F5B9B" w:rsidRPr="007F5B9B">
        <w:rPr>
          <w:rStyle w:val="Refdenotaalpie"/>
          <w:rFonts w:ascii="Century Gothic" w:hAnsi="Century Gothic"/>
          <w:szCs w:val="20"/>
        </w:rPr>
        <w:footnoteReference w:customMarkFollows="1" w:id="1"/>
        <w:sym w:font="Symbol" w:char="F054"/>
      </w:r>
    </w:p>
    <w:p w:rsidR="00A44FFC" w:rsidRPr="00A44FFC" w:rsidRDefault="00A44FFC" w:rsidP="00A44FFC">
      <w:pPr>
        <w:numPr>
          <w:ilvl w:val="0"/>
          <w:numId w:val="24"/>
        </w:numPr>
        <w:spacing w:line="360" w:lineRule="auto"/>
        <w:jc w:val="both"/>
        <w:rPr>
          <w:rFonts w:ascii="Century Gothic" w:hAnsi="Century Gothic"/>
          <w:szCs w:val="20"/>
        </w:rPr>
      </w:pPr>
      <w:r w:rsidRPr="00A44FFC">
        <w:rPr>
          <w:rFonts w:ascii="Century Gothic" w:hAnsi="Century Gothic"/>
          <w:szCs w:val="20"/>
        </w:rPr>
        <w:t>Dolores Rivera Frade</w:t>
      </w:r>
      <w:r>
        <w:rPr>
          <w:rFonts w:ascii="Century Gothic" w:hAnsi="Century Gothic"/>
          <w:szCs w:val="20"/>
        </w:rPr>
        <w:t>.</w:t>
      </w:r>
    </w:p>
    <w:p w:rsidR="00A44FFC" w:rsidRPr="00A44FFC" w:rsidRDefault="00A44FFC" w:rsidP="00A44FFC">
      <w:pPr>
        <w:numPr>
          <w:ilvl w:val="0"/>
          <w:numId w:val="24"/>
        </w:numPr>
        <w:spacing w:line="360" w:lineRule="auto"/>
        <w:jc w:val="both"/>
        <w:rPr>
          <w:rFonts w:ascii="Century Gothic" w:hAnsi="Century Gothic"/>
          <w:szCs w:val="20"/>
        </w:rPr>
      </w:pPr>
      <w:r w:rsidRPr="00A44FFC">
        <w:rPr>
          <w:rFonts w:ascii="Century Gothic" w:hAnsi="Century Gothic"/>
          <w:szCs w:val="20"/>
        </w:rPr>
        <w:t>María Dolores Galindo Gil</w:t>
      </w:r>
      <w:r>
        <w:rPr>
          <w:rFonts w:ascii="Century Gothic" w:hAnsi="Century Gothic"/>
          <w:szCs w:val="20"/>
        </w:rPr>
        <w:t>.</w:t>
      </w:r>
    </w:p>
    <w:p w:rsidR="00A44FFC" w:rsidRPr="00A44FFC" w:rsidRDefault="00A44FFC" w:rsidP="00A44FFC">
      <w:pPr>
        <w:spacing w:before="240" w:line="360" w:lineRule="auto"/>
        <w:jc w:val="center"/>
        <w:rPr>
          <w:rFonts w:ascii="Century Gothic" w:hAnsi="Century Gothic"/>
          <w:i/>
          <w:szCs w:val="20"/>
        </w:rPr>
      </w:pPr>
      <w:r w:rsidRPr="00A44FFC">
        <w:rPr>
          <w:rFonts w:ascii="Century Gothic" w:hAnsi="Century Gothic"/>
          <w:i/>
          <w:szCs w:val="20"/>
        </w:rPr>
        <w:t>A CORUÑA, veintisiete de Octubre de dos mil diez.</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En el RECURSO DE APELACION 153/2010 pendiente de resolución ante esta Sala, interpuesto por doña Cecilia, dirigida por el letrado don EUGENIO MOURE GONZALEZ, contra SENTENCIA de fecha treinta de Septiembre de dos mil nueve dictada en el procedimiento PA 210/2009 por el JDO. DE LO CONTENCIOSO Núm.2 de</w:t>
      </w:r>
      <w:r>
        <w:rPr>
          <w:rFonts w:ascii="Century Gothic" w:hAnsi="Century Gothic"/>
          <w:szCs w:val="20"/>
        </w:rPr>
        <w:t xml:space="preserve"> </w:t>
      </w:r>
      <w:r w:rsidRPr="00A44FFC">
        <w:rPr>
          <w:rFonts w:ascii="Century Gothic" w:hAnsi="Century Gothic"/>
          <w:szCs w:val="20"/>
        </w:rPr>
        <w:t>OURENSE sobre REINGRESO AL SERVICIO ACTIVO. Es parte apelada la DIRECCION GENERAL DE LA FUNCION PUBLICA, representada por el ABOGADO DEL ESTADO.</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Es ponente la Ilma. Sra. Dª DOLORES RIVERA FRADE.</w:t>
      </w:r>
    </w:p>
    <w:p w:rsidR="00A44FFC" w:rsidRPr="00A44FFC" w:rsidRDefault="00A44FFC" w:rsidP="00A44FFC">
      <w:pPr>
        <w:spacing w:before="240" w:line="360" w:lineRule="auto"/>
        <w:jc w:val="both"/>
        <w:rPr>
          <w:rFonts w:ascii="Century Gothic" w:hAnsi="Century Gothic"/>
          <w:b/>
          <w:szCs w:val="20"/>
          <w:u w:val="single"/>
        </w:rPr>
      </w:pPr>
      <w:r w:rsidRPr="00A44FFC">
        <w:rPr>
          <w:rFonts w:ascii="Century Gothic" w:hAnsi="Century Gothic"/>
          <w:b/>
          <w:szCs w:val="20"/>
          <w:u w:val="single"/>
        </w:rPr>
        <w:t>ANTECEDENTES DE HECHO</w:t>
      </w:r>
    </w:p>
    <w:p w:rsid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t>PRIMERO.-</w:t>
      </w:r>
      <w:r w:rsidRPr="00A44FFC">
        <w:rPr>
          <w:rFonts w:ascii="Century Gothic" w:hAnsi="Century Gothic"/>
          <w:szCs w:val="20"/>
        </w:rPr>
        <w:t xml:space="preserve"> Se dictó, por el Juzgado de instancia, la resolución referenciada anteriormente, cuya parte dispositiva dice: "que debo estimar y estimo parcialmente el recurso contencioso-administrativo interpuesto por el letrado don Eugenio Moure González, en defensa y representación de doña Cecilia, contra acto administrativo consistente en comunicación del Subdirector General de RR.HH. del Ministerio de Administraciones Públicas, en virtud de la cual no se accede a la solicitud de reingreso al servicio activo y se mantiene la situación de excedencia voluntaria de la recurrente, anulando y dejando sin efecto dichos actos, por no ser conformes a Derecho, por ausencia de motivación de los mismos; sin hacer especial imposición d</w:t>
      </w:r>
      <w:r>
        <w:rPr>
          <w:rFonts w:ascii="Century Gothic" w:hAnsi="Century Gothic"/>
          <w:szCs w:val="20"/>
        </w:rPr>
        <w:t>e las costas del procedimiento.</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Asimismo, se ordena se retrotraigan las actuaciones al momento anterior al informe de los diversos departamentos, a fin de que éstos emitan nuevo informe motivando suficientemente la concesión o denegación de las plazas vacantes a la aquí recurrente".</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lastRenderedPageBreak/>
        <w:t>SEGUNDO.-</w:t>
      </w:r>
      <w:r w:rsidRPr="00A44FFC">
        <w:rPr>
          <w:rFonts w:ascii="Century Gothic" w:hAnsi="Century Gothic"/>
          <w:szCs w:val="20"/>
        </w:rPr>
        <w:t xml:space="preserve"> Notificada la misma, se interpuso recurso de apelación que fue tramitado en forma, con el resultado que obra en el procedimiento, habiéndose acordado dar traslado de las actuaciones al ponente para resolver por el turno que corresponda.</w:t>
      </w:r>
    </w:p>
    <w:p w:rsidR="00A44FFC" w:rsidRPr="00A44FFC" w:rsidRDefault="00A44FFC" w:rsidP="00A44FFC">
      <w:pPr>
        <w:spacing w:before="240" w:line="360" w:lineRule="auto"/>
        <w:jc w:val="both"/>
        <w:rPr>
          <w:rFonts w:ascii="Century Gothic" w:hAnsi="Century Gothic"/>
          <w:b/>
          <w:szCs w:val="20"/>
          <w:u w:val="single"/>
        </w:rPr>
      </w:pPr>
      <w:r w:rsidRPr="00A44FFC">
        <w:rPr>
          <w:rFonts w:ascii="Century Gothic" w:hAnsi="Century Gothic"/>
          <w:b/>
          <w:szCs w:val="20"/>
          <w:u w:val="single"/>
        </w:rPr>
        <w:t>FUNDAMENTOS JURIDICOS</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NO SE ACEPTAN los fundamentos jurídicos de la resolución recurrida, y</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t>PRIMERO.-</w:t>
      </w:r>
      <w:r w:rsidRPr="00A44FFC">
        <w:rPr>
          <w:rFonts w:ascii="Century Gothic" w:hAnsi="Century Gothic"/>
          <w:szCs w:val="20"/>
        </w:rPr>
        <w:t xml:space="preserve"> Por doña Cecilia se recurre en apelación la sentencia dictada por el Juzgado de lo contencioso-administrativo número Dos de Ourense en los autos de procedimiento abreviado número</w:t>
      </w:r>
      <w:r>
        <w:rPr>
          <w:rFonts w:ascii="Century Gothic" w:hAnsi="Century Gothic"/>
          <w:szCs w:val="20"/>
        </w:rPr>
        <w:t xml:space="preserve"> </w:t>
      </w:r>
      <w:r w:rsidRPr="00A44FFC">
        <w:rPr>
          <w:rFonts w:ascii="Century Gothic" w:hAnsi="Century Gothic"/>
          <w:szCs w:val="20"/>
        </w:rPr>
        <w:t>210/09, la cual estima parcialmente el recurso contencioso-administrativo interpuesto por la actora contra el acto del Subdirector General de Gestión de Recursos Humanos del Ministerio de Administraciones Públicas de fecha 27 de marzo de 2009 por el que se comunica a la interesada que se mantenía su situación administrativa de excedencia voluntaria por servicio activo en otro cuerpo o escala de cualquier Administración Pública, no accediendo a la solicitud efectuada por aquélla para su reingreso al servicio activo en alguna de las vacantes existentes en la provincia de Ourense en la Administración General del Estado.</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t>SEGUNDO.-</w:t>
      </w:r>
      <w:r w:rsidRPr="00A44FFC">
        <w:rPr>
          <w:rFonts w:ascii="Century Gothic" w:hAnsi="Century Gothic"/>
          <w:szCs w:val="20"/>
        </w:rPr>
        <w:t xml:space="preserve"> Frente a los fundamentos de la sentencia apelada el Letrado de la parte actora, aquí apelante, invoca una infracción el artículo 67 de la LJCA por vulneración del principio de congruencia, en tanto que ninguna de las partes planteó un vicio de forma con eficacia invalidante que conlleve a la retroacción del procedimiento, y por tal razón la falta de motivación fue uno de los motivos alegados en el escrito de demanda pero para anular el acto recurrido con el efecto que conlleva, esto es, es el de la admisión de la solicitud de reingreso provisional denegada en vía administrativa. Y, en íntima conexión con estos argumentos, alega asimismo una infracción del principio de economía procesal en tanto que si la Administración incurre en un defecto de motivación por su propia torpeza, la consecuencia es la predicada en el recurso y no la retroacción de las actuaciones, lo cual, a juicio de la apelante, implica contravenir el principio de economía procesal que exige pronunciarse sobre el fondo y formular un juicio definitivo sobre la conformidad o disconformidad sustancial del acto con el ordenamiento jurídico; juicio de fondo que demanda de este Tribunal desde el momento en que en el recurso de apelación solicita que se revoque la sentencia de instancia "en el sentido de estimar por completo los términos del recurso en su día interpuesto".</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t>TERCERO.-</w:t>
      </w:r>
      <w:r w:rsidRPr="00A44FFC">
        <w:rPr>
          <w:rFonts w:ascii="Century Gothic" w:hAnsi="Century Gothic"/>
          <w:szCs w:val="20"/>
        </w:rPr>
        <w:t xml:space="preserve"> Lo expuesto en el precedente razonamiento jurídico ha de conducir necesariamente a la revocación de la sentencia de instancia, procediendo entonces esta Sala entrar a conocer de la cuestión de fondo planteada en el escrito de demanda que pasa por comprobar si el acto de denegación de la solicitud de reingreso al servicio activo presentada por la actora es o no conforme a derecho.</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lastRenderedPageBreak/>
        <w:t>CUARTO.-</w:t>
      </w:r>
      <w:r w:rsidRPr="00A44FFC">
        <w:rPr>
          <w:rFonts w:ascii="Century Gothic" w:hAnsi="Century Gothic"/>
          <w:szCs w:val="20"/>
        </w:rPr>
        <w:t xml:space="preserve"> En el presente caso, tal como resulta del informe emitido por el Ministerio del Interior que obra unido al folio 23 del expediente administrativo, la actora y otros tres funcionarios más pertenecientes al cuerpo general de auxiliar de la Administración del Estado solicitaban el reingreso al servicio activo, informándose desfavorablemente para todos ellos por no existir vacantes disponibles del grupo al que pertenecen en la localidad solicitada, o estar prevista su convocatoria en un próximo concurso general.</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t>QUINTO.-</w:t>
      </w:r>
      <w:r w:rsidRPr="00A44FFC">
        <w:rPr>
          <w:rFonts w:ascii="Century Gothic" w:hAnsi="Century Gothic"/>
          <w:szCs w:val="20"/>
        </w:rPr>
        <w:t xml:space="preserve"> Con arreglo a lo dispuesto en el artículo 139.2 de la Ley de la Jurisdicción Contencioso</w:t>
      </w:r>
      <w:r>
        <w:rPr>
          <w:rFonts w:ascii="Century Gothic" w:hAnsi="Century Gothic"/>
          <w:szCs w:val="20"/>
        </w:rPr>
        <w:t xml:space="preserve"> </w:t>
      </w:r>
      <w:r w:rsidRPr="00A44FFC">
        <w:rPr>
          <w:rFonts w:ascii="Century Gothic" w:hAnsi="Century Gothic"/>
          <w:szCs w:val="20"/>
        </w:rPr>
        <w:t>administrativa, no se hace especial pronunciamiento en materia de costas.</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VISTOS los artículos citados y demás preceptos de general y pertinente aplicación.</w:t>
      </w:r>
    </w:p>
    <w:p w:rsidR="00A44FFC" w:rsidRPr="00A44FFC" w:rsidRDefault="00A44FFC" w:rsidP="00A44FFC">
      <w:pPr>
        <w:spacing w:before="240" w:line="360" w:lineRule="auto"/>
        <w:jc w:val="both"/>
        <w:rPr>
          <w:rFonts w:ascii="Century Gothic" w:hAnsi="Century Gothic"/>
          <w:b/>
          <w:szCs w:val="20"/>
          <w:u w:val="single"/>
        </w:rPr>
      </w:pPr>
      <w:r w:rsidRPr="00A44FFC">
        <w:rPr>
          <w:rFonts w:ascii="Century Gothic" w:hAnsi="Century Gothic"/>
          <w:b/>
          <w:szCs w:val="20"/>
          <w:u w:val="single"/>
        </w:rPr>
        <w:t>FALLAMOS</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que con estimación del recurso de apelación interpuesto contra la sentencia del Juzgado de lo contencioso administrativo nº 2 de Ourense en los autos de procedimiento abreviado número 210/09, DEBEMOS REVOCAR Y REVOCAMOS la misma, y desestimamos el recurso contencioso-administrativo interpuesto por doña Cecilia contra el acto del Subdirector General de Gestión de Recursos Humanos del Ministerio de Administraciones Públicas de fecha 27 de marzo de 2009 por el que se comunica a la interesada que se mantenía su situación administrativa de excedencia voluntaria por servicio activo en otro cuerpo o escala de cualquier Administración Pública, no accediendo a la solicitud efectuada por aquélla para su reingreso al servicio activo en alguna de las vacantes existentes en la provincia de Ourense en la Administración General del Estado; todo ello sin hacer pronunciamiento en materia de costas.</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Notifíquese a las partes y, en su momento, devuélvanse las actuaciones al Juzgado de procedencia, con certificación de esta resolución.</w:t>
      </w:r>
    </w:p>
    <w:p w:rsidR="00A44FFC" w:rsidRPr="00A44FFC" w:rsidRDefault="00A44FFC" w:rsidP="00A44FFC">
      <w:pPr>
        <w:spacing w:before="240" w:line="360" w:lineRule="auto"/>
        <w:jc w:val="both"/>
        <w:rPr>
          <w:rFonts w:ascii="Century Gothic" w:hAnsi="Century Gothic"/>
          <w:szCs w:val="20"/>
        </w:rPr>
      </w:pPr>
      <w:r w:rsidRPr="00A44FFC">
        <w:rPr>
          <w:rFonts w:ascii="Century Gothic" w:hAnsi="Century Gothic"/>
          <w:szCs w:val="20"/>
        </w:rPr>
        <w:t>Así lo pronunciamos, mandamos y firmamos.</w:t>
      </w:r>
    </w:p>
    <w:p w:rsidR="00A44FFC" w:rsidRDefault="00A44FFC" w:rsidP="00A44FFC">
      <w:pPr>
        <w:spacing w:before="240" w:line="360" w:lineRule="auto"/>
        <w:jc w:val="both"/>
        <w:rPr>
          <w:rFonts w:ascii="Century Gothic" w:hAnsi="Century Gothic"/>
          <w:szCs w:val="20"/>
        </w:rPr>
      </w:pPr>
      <w:r w:rsidRPr="00A44FFC">
        <w:rPr>
          <w:rFonts w:ascii="Century Gothic" w:hAnsi="Century Gothic"/>
          <w:b/>
          <w:szCs w:val="20"/>
        </w:rPr>
        <w:t>PUBLICACION.-</w:t>
      </w:r>
      <w:r w:rsidRPr="00A44FFC">
        <w:rPr>
          <w:rFonts w:ascii="Century Gothic" w:hAnsi="Century Gothic"/>
          <w:szCs w:val="20"/>
        </w:rPr>
        <w:t xml:space="preserve"> La sentencia anterior ha sido leída y publicada el mismo día de su fecha, por la Ilma. Sra. Magistrada Ponente Dª DOLORES RIVERA FRADE al estar celebrando audiencia pública la Sección</w:t>
      </w:r>
      <w:r>
        <w:rPr>
          <w:rFonts w:ascii="Century Gothic" w:hAnsi="Century Gothic"/>
          <w:szCs w:val="20"/>
        </w:rPr>
        <w:t xml:space="preserve"> </w:t>
      </w:r>
      <w:r w:rsidRPr="00A44FFC">
        <w:rPr>
          <w:rFonts w:ascii="Century Gothic" w:hAnsi="Century Gothic"/>
          <w:szCs w:val="20"/>
        </w:rPr>
        <w:t xml:space="preserve">001 de la Sala de lo Contencioso-Administrativo del Tribunal Superior </w:t>
      </w:r>
      <w:r>
        <w:rPr>
          <w:rFonts w:ascii="Century Gothic" w:hAnsi="Century Gothic"/>
          <w:szCs w:val="20"/>
        </w:rPr>
        <w:t>de Justicia de Galicia. Doy fe.</w:t>
      </w:r>
    </w:p>
    <w:p w:rsidR="00691386" w:rsidRPr="00691386" w:rsidRDefault="00A44FFC" w:rsidP="00572BA3">
      <w:pPr>
        <w:spacing w:before="240" w:line="360" w:lineRule="auto"/>
        <w:jc w:val="both"/>
      </w:pPr>
      <w:r w:rsidRPr="00A44FFC">
        <w:rPr>
          <w:rFonts w:ascii="Century Gothic" w:hAnsi="Century Gothic"/>
          <w:szCs w:val="20"/>
        </w:rPr>
        <w:t>A CORUÑA, veintis</w:t>
      </w:r>
      <w:r w:rsidR="00572BA3">
        <w:rPr>
          <w:rFonts w:ascii="Century Gothic" w:hAnsi="Century Gothic"/>
          <w:szCs w:val="20"/>
        </w:rPr>
        <w:t>iete de octubre de dos mil diez</w:t>
      </w:r>
    </w:p>
    <w:sectPr w:rsidR="00691386" w:rsidRPr="00691386" w:rsidSect="00572BA3">
      <w:headerReference w:type="default" r:id="rId10"/>
      <w:footerReference w:type="default" r:id="rId11"/>
      <w:endnotePr>
        <w:numFmt w:val="lowerLetter"/>
      </w:endnotePr>
      <w:type w:val="continuous"/>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ACC" w:rsidRDefault="004F4ACC">
      <w:r>
        <w:separator/>
      </w:r>
    </w:p>
  </w:endnote>
  <w:endnote w:type="continuationSeparator" w:id="0">
    <w:p w:rsidR="004F4ACC" w:rsidRDefault="004F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3A7AC2">
    <w:pPr>
      <w:pStyle w:val="Piedepgina"/>
    </w:pPr>
    <w:r>
      <w:t>Nombre Apellido 1 Apellido 2</w:t>
    </w:r>
    <w:r>
      <w:tab/>
    </w:r>
    <w:r>
      <w:fldChar w:fldCharType="begin"/>
    </w:r>
    <w:r>
      <w:instrText xml:space="preserve"> DATE  \@ "dd' de 'MMMM' de 'yyyy" </w:instrText>
    </w:r>
    <w:r>
      <w:fldChar w:fldCharType="separate"/>
    </w:r>
    <w:r w:rsidR="00D479FB">
      <w:rPr>
        <w:noProof/>
      </w:rPr>
      <w:t>26 de julio de 2016</w:t>
    </w:r>
    <w:r>
      <w:fldChar w:fldCharType="end"/>
    </w:r>
    <w:r>
      <w:t xml:space="preserve"> - </w:t>
    </w:r>
    <w:r>
      <w:fldChar w:fldCharType="begin"/>
    </w:r>
    <w:r>
      <w:instrText xml:space="preserve"> TIME  \@ "HH:mm" </w:instrText>
    </w:r>
    <w:r>
      <w:fldChar w:fldCharType="separate"/>
    </w:r>
    <w:r w:rsidR="00D479FB">
      <w:rPr>
        <w:noProof/>
      </w:rPr>
      <w:t>03:38</w:t>
    </w:r>
    <w:r>
      <w:fldChar w:fldCharType="end"/>
    </w:r>
    <w:r>
      <w:tab/>
      <w:t xml:space="preserve">Página </w:t>
    </w:r>
    <w:r>
      <w:fldChar w:fldCharType="begin"/>
    </w:r>
    <w:r>
      <w:instrText xml:space="preserve"> PAGE </w:instrText>
    </w:r>
    <w:r>
      <w:fldChar w:fldCharType="separate"/>
    </w:r>
    <w:r w:rsidR="00D479FB">
      <w:rPr>
        <w:noProof/>
      </w:rPr>
      <w:t>1</w:t>
    </w:r>
    <w:r>
      <w:fldChar w:fldCharType="end"/>
    </w:r>
    <w:r>
      <w:t xml:space="preserve"> de </w:t>
    </w:r>
    <w:r w:rsidR="00D479FB">
      <w:fldChar w:fldCharType="begin"/>
    </w:r>
    <w:r w:rsidR="00D479FB">
      <w:instrText xml:space="preserve"> NUMPAGES </w:instrText>
    </w:r>
    <w:r w:rsidR="00D479FB">
      <w:fldChar w:fldCharType="separate"/>
    </w:r>
    <w:r w:rsidR="00D479FB">
      <w:rPr>
        <w:noProof/>
      </w:rPr>
      <w:t>1</w:t>
    </w:r>
    <w:r w:rsidR="00D479F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F10945">
        <w:t>STSJ GAL 8815-2010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ACC" w:rsidRDefault="004F4ACC">
      <w:r>
        <w:separator/>
      </w:r>
    </w:p>
  </w:footnote>
  <w:footnote w:type="continuationSeparator" w:id="0">
    <w:p w:rsidR="004F4ACC" w:rsidRDefault="004F4ACC">
      <w:r>
        <w:continuationSeparator/>
      </w:r>
    </w:p>
  </w:footnote>
  <w:footnote w:id="1">
    <w:p w:rsidR="007F5B9B" w:rsidRDefault="007F5B9B">
      <w:pPr>
        <w:pStyle w:val="Textonotapie"/>
      </w:pPr>
      <w:r w:rsidRPr="007F5B9B">
        <w:rPr>
          <w:rStyle w:val="Refdenotaalpie"/>
        </w:rPr>
        <w:sym w:font="Symbol" w:char="F054"/>
      </w:r>
      <w:r>
        <w:t xml:space="preserve"> </w:t>
      </w:r>
      <w:r w:rsidRPr="00D40363">
        <w:rPr>
          <w:rFonts w:ascii="Century Gothic" w:hAnsi="Century Gothic"/>
        </w:rPr>
        <w:t>Preside el tribunal</w:t>
      </w:r>
      <w:r>
        <w:rPr>
          <w:rFonts w:ascii="Century Gothic" w:hAnsi="Century Gothic"/>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901003" w:rsidRDefault="00901003" w:rsidP="00901003">
    <w:pPr>
      <w:pStyle w:val="Encabezado"/>
      <w:tabs>
        <w:tab w:val="clear" w:pos="4252"/>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4B9"/>
      </v:shape>
    </w:pict>
  </w:numPicBullet>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22B6CDF"/>
    <w:multiLevelType w:val="hybridMultilevel"/>
    <w:tmpl w:val="C1CAE78A"/>
    <w:lvl w:ilvl="0" w:tplc="493E3EE0">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1872A49"/>
    <w:multiLevelType w:val="hybridMultilevel"/>
    <w:tmpl w:val="C1CAE78A"/>
    <w:lvl w:ilvl="0" w:tplc="493E3EE0">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6A83A74"/>
    <w:multiLevelType w:val="hybridMultilevel"/>
    <w:tmpl w:val="5958FD9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3"/>
  </w:num>
  <w:num w:numId="2">
    <w:abstractNumId w:val="20"/>
  </w:num>
  <w:num w:numId="3">
    <w:abstractNumId w:val="22"/>
  </w:num>
  <w:num w:numId="4">
    <w:abstractNumId w:val="11"/>
  </w:num>
  <w:num w:numId="5">
    <w:abstractNumId w:val="14"/>
  </w:num>
  <w:num w:numId="6">
    <w:abstractNumId w:val="19"/>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2"/>
  </w:num>
  <w:num w:numId="17">
    <w:abstractNumId w:val="21"/>
  </w:num>
  <w:num w:numId="18">
    <w:abstractNumId w:val="17"/>
  </w:num>
  <w:num w:numId="19">
    <w:abstractNumId w:val="18"/>
  </w:num>
  <w:num w:numId="20">
    <w:abstractNumId w:val="13"/>
  </w:num>
  <w:num w:numId="21">
    <w:abstractNumId w:val="10"/>
  </w:num>
  <w:num w:numId="22">
    <w:abstractNumId w:val="15"/>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15648"/>
    <w:rsid w:val="0002542B"/>
    <w:rsid w:val="00033DC0"/>
    <w:rsid w:val="00093774"/>
    <w:rsid w:val="00096648"/>
    <w:rsid w:val="000A2946"/>
    <w:rsid w:val="000B4B37"/>
    <w:rsid w:val="000C6AB5"/>
    <w:rsid w:val="000F48B6"/>
    <w:rsid w:val="00137F9D"/>
    <w:rsid w:val="001910CA"/>
    <w:rsid w:val="001B5680"/>
    <w:rsid w:val="001C1A00"/>
    <w:rsid w:val="001D5E8C"/>
    <w:rsid w:val="001E3D7D"/>
    <w:rsid w:val="001E541E"/>
    <w:rsid w:val="002634C8"/>
    <w:rsid w:val="00276693"/>
    <w:rsid w:val="002766BE"/>
    <w:rsid w:val="002904C0"/>
    <w:rsid w:val="00291F41"/>
    <w:rsid w:val="00326852"/>
    <w:rsid w:val="003502D7"/>
    <w:rsid w:val="00351102"/>
    <w:rsid w:val="00352990"/>
    <w:rsid w:val="00354CCD"/>
    <w:rsid w:val="00356279"/>
    <w:rsid w:val="003A7AC2"/>
    <w:rsid w:val="003C523A"/>
    <w:rsid w:val="003D1D54"/>
    <w:rsid w:val="003D42F0"/>
    <w:rsid w:val="003E1E8A"/>
    <w:rsid w:val="00400640"/>
    <w:rsid w:val="004A02B9"/>
    <w:rsid w:val="004D0947"/>
    <w:rsid w:val="004F4ACC"/>
    <w:rsid w:val="00510EDB"/>
    <w:rsid w:val="005316CA"/>
    <w:rsid w:val="00551DC0"/>
    <w:rsid w:val="00572BA3"/>
    <w:rsid w:val="00573E19"/>
    <w:rsid w:val="0058018F"/>
    <w:rsid w:val="00591117"/>
    <w:rsid w:val="005A3B4E"/>
    <w:rsid w:val="005B337F"/>
    <w:rsid w:val="005C2440"/>
    <w:rsid w:val="005C3894"/>
    <w:rsid w:val="005C4BA8"/>
    <w:rsid w:val="00650EC4"/>
    <w:rsid w:val="006676E4"/>
    <w:rsid w:val="00687F4B"/>
    <w:rsid w:val="00691386"/>
    <w:rsid w:val="00695894"/>
    <w:rsid w:val="006A11A5"/>
    <w:rsid w:val="006A6A16"/>
    <w:rsid w:val="006D604D"/>
    <w:rsid w:val="00701059"/>
    <w:rsid w:val="00756B08"/>
    <w:rsid w:val="007A013E"/>
    <w:rsid w:val="007B12B7"/>
    <w:rsid w:val="007C1B34"/>
    <w:rsid w:val="007C7AFC"/>
    <w:rsid w:val="007F5B9B"/>
    <w:rsid w:val="00815391"/>
    <w:rsid w:val="00864BC8"/>
    <w:rsid w:val="008B1BB2"/>
    <w:rsid w:val="008E0B79"/>
    <w:rsid w:val="008E20C6"/>
    <w:rsid w:val="008F443A"/>
    <w:rsid w:val="00901003"/>
    <w:rsid w:val="00933A8B"/>
    <w:rsid w:val="00936FF3"/>
    <w:rsid w:val="0095038F"/>
    <w:rsid w:val="009900D0"/>
    <w:rsid w:val="009924F1"/>
    <w:rsid w:val="00997F2A"/>
    <w:rsid w:val="009A3746"/>
    <w:rsid w:val="009C262C"/>
    <w:rsid w:val="009F2071"/>
    <w:rsid w:val="00A00B86"/>
    <w:rsid w:val="00A111BB"/>
    <w:rsid w:val="00A1379E"/>
    <w:rsid w:val="00A25911"/>
    <w:rsid w:val="00A44FFC"/>
    <w:rsid w:val="00A90766"/>
    <w:rsid w:val="00AA37FA"/>
    <w:rsid w:val="00AD6A4D"/>
    <w:rsid w:val="00AE64AE"/>
    <w:rsid w:val="00B34A75"/>
    <w:rsid w:val="00B40707"/>
    <w:rsid w:val="00B45DD4"/>
    <w:rsid w:val="00B53AFE"/>
    <w:rsid w:val="00BB4199"/>
    <w:rsid w:val="00BB4BE8"/>
    <w:rsid w:val="00C07EEF"/>
    <w:rsid w:val="00C20FB1"/>
    <w:rsid w:val="00C21DFC"/>
    <w:rsid w:val="00C24449"/>
    <w:rsid w:val="00C7317A"/>
    <w:rsid w:val="00CA254E"/>
    <w:rsid w:val="00D341B7"/>
    <w:rsid w:val="00D40363"/>
    <w:rsid w:val="00D479FB"/>
    <w:rsid w:val="00D526DA"/>
    <w:rsid w:val="00D66028"/>
    <w:rsid w:val="00DA1EC2"/>
    <w:rsid w:val="00DB4A73"/>
    <w:rsid w:val="00DC7494"/>
    <w:rsid w:val="00DF1CD2"/>
    <w:rsid w:val="00E918C4"/>
    <w:rsid w:val="00EB419F"/>
    <w:rsid w:val="00EC73FF"/>
    <w:rsid w:val="00EE3C9B"/>
    <w:rsid w:val="00F06B59"/>
    <w:rsid w:val="00F10945"/>
    <w:rsid w:val="00F419C8"/>
    <w:rsid w:val="00FB2745"/>
    <w:rsid w:val="00FE1652"/>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3</Pages>
  <Words>1092</Words>
  <Characters>5935</Characters>
  <Application>Microsoft Office Word</Application>
  <DocSecurity>0</DocSecurity>
  <Lines>100</Lines>
  <Paragraphs>36</Paragraphs>
  <ScaleCrop>false</ScaleCrop>
  <HeadingPairs>
    <vt:vector size="2" baseType="variant">
      <vt:variant>
        <vt:lpstr>Título</vt:lpstr>
      </vt:variant>
      <vt:variant>
        <vt:i4>1</vt:i4>
      </vt:variant>
    </vt:vector>
  </HeadingPairs>
  <TitlesOfParts>
    <vt:vector size="1" baseType="lpstr">
      <vt:lpstr>STSJ GAL 8815-2010</vt:lpstr>
    </vt:vector>
  </TitlesOfParts>
  <Manager>Pilar Lopez Perez</Manager>
  <Company>Postal 3</Company>
  <LinksUpToDate>false</LinksUpToDate>
  <CharactersWithSpaces>6993</CharactersWithSpaces>
  <SharedDoc>false</SharedDoc>
  <HyperlinkBase>http://sotogarcia.es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8815-2010</dc:title>
  <dc:subject>Texts</dc:subject>
  <dc:creator>Pilar Lopez Perez</dc:creator>
  <cp:keywords>Imagen Forma Columna</cp:keywords>
  <dc:description>Tabla</dc:description>
  <cp:lastModifiedBy>Jorge Soto Garcia</cp:lastModifiedBy>
  <cp:revision>4</cp:revision>
  <cp:lastPrinted>2016-07-14T08:11:00Z</cp:lastPrinted>
  <dcterms:created xsi:type="dcterms:W3CDTF">2016-07-26T01:19:00Z</dcterms:created>
  <dcterms:modified xsi:type="dcterms:W3CDTF">2016-07-26T01:38:00Z</dcterms:modified>
  <cp:category>Tabla</cp:category>
</cp:coreProperties>
</file>