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tblpXSpec="right" w:tblpY="1"/>
        <w:tblOverlap w:val="never"/>
        <w:tblW w:w="453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701"/>
      </w:tblGrid>
      <w:tr w:rsidR="00B117FB" w:rsidRPr="0084751A">
        <w:trPr>
          <w:trHeight w:val="340"/>
          <w:jc w:val="right"/>
        </w:trPr>
        <w:tc>
          <w:tcPr>
            <w:tcW w:w="2835" w:type="dxa"/>
            <w:shd w:val="clear" w:color="auto" w:fill="auto"/>
            <w:vAlign w:val="center"/>
          </w:tcPr>
          <w:p w:rsidR="00B117FB" w:rsidRPr="00095747" w:rsidRDefault="00B117FB" w:rsidP="00095747">
            <w:pPr>
              <w:pStyle w:val="ENUNCIADO-Base"/>
              <w:rPr>
                <w:rFonts w:ascii="Bookman Old Style" w:hAnsi="Bookman Old Style"/>
                <w:sz w:val="22"/>
                <w:szCs w:val="22"/>
              </w:rPr>
            </w:pPr>
            <w:bookmarkStart w:id="0" w:name="_GoBack"/>
            <w:bookmarkEnd w:id="0"/>
            <w:r w:rsidRPr="00095747">
              <w:rPr>
                <w:rFonts w:ascii="Bookman Old Style" w:hAnsi="Bookman Old Style"/>
                <w:sz w:val="22"/>
                <w:szCs w:val="22"/>
              </w:rPr>
              <w:t xml:space="preserve">Sede </w:t>
            </w:r>
            <w:r w:rsidRPr="00095747">
              <w:rPr>
                <w:rFonts w:ascii="Bookman Old Style" w:hAnsi="Bookman Old Style"/>
                <w:sz w:val="22"/>
                <w:szCs w:val="22"/>
              </w:rPr>
              <w:sym w:font="Webdings" w:char="F047"/>
            </w:r>
          </w:p>
        </w:tc>
        <w:tc>
          <w:tcPr>
            <w:tcW w:w="1701" w:type="dxa"/>
            <w:shd w:val="clear" w:color="auto" w:fill="auto"/>
            <w:vAlign w:val="center"/>
          </w:tcPr>
          <w:p w:rsidR="00B117FB" w:rsidRPr="00095747" w:rsidRDefault="00B117FB" w:rsidP="00095747">
            <w:pPr>
              <w:jc w:val="center"/>
              <w:rPr>
                <w:rFonts w:ascii="Bookman Old Style" w:hAnsi="Bookman Old Style"/>
                <w:sz w:val="22"/>
                <w:szCs w:val="22"/>
              </w:rPr>
            </w:pPr>
            <w:r w:rsidRPr="00095747">
              <w:rPr>
                <w:rFonts w:ascii="Bookman Old Style" w:hAnsi="Bookman Old Style"/>
                <w:sz w:val="22"/>
                <w:szCs w:val="22"/>
              </w:rPr>
              <w:t xml:space="preserve">Coruña </w:t>
            </w:r>
            <w:r w:rsidRPr="00F14053">
              <w:rPr>
                <w:rStyle w:val="nfasis"/>
              </w:rPr>
              <w:t>(A)</w:t>
            </w:r>
          </w:p>
        </w:tc>
      </w:tr>
      <w:tr w:rsidR="00B117FB" w:rsidRPr="0084751A">
        <w:trPr>
          <w:trHeight w:val="340"/>
          <w:jc w:val="right"/>
        </w:trPr>
        <w:tc>
          <w:tcPr>
            <w:tcW w:w="2835" w:type="dxa"/>
            <w:shd w:val="clear" w:color="auto" w:fill="auto"/>
            <w:vAlign w:val="center"/>
          </w:tcPr>
          <w:p w:rsidR="00B117FB" w:rsidRPr="00095747" w:rsidRDefault="00B117FB" w:rsidP="00095747">
            <w:pPr>
              <w:rPr>
                <w:rFonts w:ascii="Bookman Old Style" w:hAnsi="Bookman Old Style"/>
                <w:sz w:val="22"/>
                <w:szCs w:val="22"/>
              </w:rPr>
            </w:pPr>
            <w:r w:rsidRPr="00095747">
              <w:rPr>
                <w:rFonts w:ascii="Bookman Old Style" w:hAnsi="Bookman Old Style"/>
                <w:sz w:val="22"/>
                <w:szCs w:val="22"/>
              </w:rPr>
              <w:t>Sección</w:t>
            </w:r>
          </w:p>
        </w:tc>
        <w:tc>
          <w:tcPr>
            <w:tcW w:w="1701" w:type="dxa"/>
            <w:shd w:val="clear" w:color="auto" w:fill="auto"/>
            <w:vAlign w:val="center"/>
          </w:tcPr>
          <w:p w:rsidR="00B117FB" w:rsidRPr="00095747" w:rsidRDefault="00B117FB" w:rsidP="00095747">
            <w:pPr>
              <w:jc w:val="center"/>
              <w:rPr>
                <w:rFonts w:ascii="Bookman Old Style" w:hAnsi="Bookman Old Style"/>
                <w:sz w:val="22"/>
                <w:szCs w:val="22"/>
              </w:rPr>
            </w:pPr>
            <w:r w:rsidRPr="00095747">
              <w:rPr>
                <w:rFonts w:ascii="Bookman Old Style" w:hAnsi="Bookman Old Style"/>
                <w:sz w:val="22"/>
                <w:szCs w:val="22"/>
              </w:rPr>
              <w:t>1</w:t>
            </w:r>
          </w:p>
        </w:tc>
      </w:tr>
      <w:tr w:rsidR="00B117FB" w:rsidRPr="0084751A">
        <w:trPr>
          <w:trHeight w:val="340"/>
          <w:jc w:val="right"/>
        </w:trPr>
        <w:tc>
          <w:tcPr>
            <w:tcW w:w="2835" w:type="dxa"/>
            <w:shd w:val="clear" w:color="auto" w:fill="auto"/>
            <w:vAlign w:val="center"/>
          </w:tcPr>
          <w:p w:rsidR="00B117FB" w:rsidRPr="00095747" w:rsidRDefault="00B117FB" w:rsidP="00095747">
            <w:pPr>
              <w:rPr>
                <w:rFonts w:ascii="Bookman Old Style" w:hAnsi="Bookman Old Style"/>
                <w:sz w:val="22"/>
                <w:szCs w:val="22"/>
              </w:rPr>
            </w:pPr>
            <w:r w:rsidRPr="00095747">
              <w:rPr>
                <w:rFonts w:ascii="Bookman Old Style" w:hAnsi="Bookman Old Style"/>
                <w:sz w:val="22"/>
                <w:szCs w:val="22"/>
              </w:rPr>
              <w:t>Nº de Recurso</w:t>
            </w:r>
          </w:p>
        </w:tc>
        <w:tc>
          <w:tcPr>
            <w:tcW w:w="1701" w:type="dxa"/>
            <w:shd w:val="clear" w:color="auto" w:fill="auto"/>
            <w:vAlign w:val="center"/>
          </w:tcPr>
          <w:p w:rsidR="00B117FB" w:rsidRPr="00095747" w:rsidRDefault="00B117FB" w:rsidP="00095747">
            <w:pPr>
              <w:jc w:val="center"/>
              <w:rPr>
                <w:rFonts w:ascii="Bookman Old Style" w:hAnsi="Bookman Old Style"/>
                <w:sz w:val="22"/>
                <w:szCs w:val="22"/>
              </w:rPr>
            </w:pPr>
            <w:r w:rsidRPr="00095747">
              <w:rPr>
                <w:rFonts w:ascii="Bookman Old Style" w:hAnsi="Bookman Old Style"/>
                <w:sz w:val="22"/>
                <w:szCs w:val="22"/>
                <w:vertAlign w:val="superscript"/>
              </w:rPr>
              <w:t>593</w:t>
            </w:r>
            <w:r w:rsidRPr="00095747">
              <w:rPr>
                <w:rFonts w:ascii="Bookman Old Style" w:hAnsi="Bookman Old Style"/>
                <w:sz w:val="22"/>
                <w:szCs w:val="22"/>
              </w:rPr>
              <w:t>/</w:t>
            </w:r>
            <w:r w:rsidRPr="00095747">
              <w:rPr>
                <w:rFonts w:ascii="Bookman Old Style" w:hAnsi="Bookman Old Style"/>
                <w:sz w:val="22"/>
                <w:szCs w:val="22"/>
                <w:vertAlign w:val="subscript"/>
              </w:rPr>
              <w:t>2008</w:t>
            </w:r>
          </w:p>
        </w:tc>
      </w:tr>
      <w:tr w:rsidR="00B117FB" w:rsidRPr="0084751A">
        <w:trPr>
          <w:trHeight w:val="340"/>
          <w:jc w:val="right"/>
        </w:trPr>
        <w:tc>
          <w:tcPr>
            <w:tcW w:w="2835" w:type="dxa"/>
            <w:shd w:val="clear" w:color="auto" w:fill="auto"/>
            <w:vAlign w:val="center"/>
          </w:tcPr>
          <w:p w:rsidR="00B117FB" w:rsidRPr="00095747" w:rsidRDefault="00B117FB" w:rsidP="00095747">
            <w:pPr>
              <w:rPr>
                <w:rFonts w:ascii="Bookman Old Style" w:hAnsi="Bookman Old Style"/>
                <w:sz w:val="22"/>
                <w:szCs w:val="22"/>
              </w:rPr>
            </w:pPr>
            <w:r w:rsidRPr="00095747">
              <w:rPr>
                <w:rFonts w:ascii="Bookman Old Style" w:hAnsi="Bookman Old Style"/>
                <w:sz w:val="22"/>
                <w:szCs w:val="22"/>
              </w:rPr>
              <w:t>Nº de Resolución</w:t>
            </w:r>
          </w:p>
        </w:tc>
        <w:tc>
          <w:tcPr>
            <w:tcW w:w="1701" w:type="dxa"/>
            <w:shd w:val="clear" w:color="auto" w:fill="auto"/>
            <w:vAlign w:val="center"/>
          </w:tcPr>
          <w:p w:rsidR="00B117FB" w:rsidRPr="00095747" w:rsidRDefault="00B117FB" w:rsidP="00095747">
            <w:pPr>
              <w:jc w:val="center"/>
              <w:rPr>
                <w:rFonts w:ascii="Bookman Old Style" w:hAnsi="Bookman Old Style"/>
                <w:sz w:val="22"/>
                <w:szCs w:val="22"/>
              </w:rPr>
            </w:pPr>
            <w:r w:rsidRPr="00095747">
              <w:rPr>
                <w:rFonts w:ascii="Bookman Old Style" w:hAnsi="Bookman Old Style"/>
                <w:sz w:val="22"/>
                <w:szCs w:val="22"/>
                <w:vertAlign w:val="superscript"/>
              </w:rPr>
              <w:t>1186</w:t>
            </w:r>
            <w:r w:rsidRPr="00095747">
              <w:rPr>
                <w:rFonts w:ascii="Bookman Old Style" w:hAnsi="Bookman Old Style"/>
                <w:sz w:val="22"/>
                <w:szCs w:val="22"/>
              </w:rPr>
              <w:t>/</w:t>
            </w:r>
            <w:r w:rsidRPr="00095747">
              <w:rPr>
                <w:rFonts w:ascii="Bookman Old Style" w:hAnsi="Bookman Old Style"/>
                <w:sz w:val="22"/>
                <w:szCs w:val="22"/>
                <w:vertAlign w:val="subscript"/>
              </w:rPr>
              <w:t>2010</w:t>
            </w:r>
          </w:p>
        </w:tc>
      </w:tr>
      <w:tr w:rsidR="00B117FB" w:rsidRPr="0084751A">
        <w:trPr>
          <w:trHeight w:val="340"/>
          <w:jc w:val="right"/>
        </w:trPr>
        <w:tc>
          <w:tcPr>
            <w:tcW w:w="2835" w:type="dxa"/>
            <w:shd w:val="clear" w:color="auto" w:fill="auto"/>
            <w:vAlign w:val="center"/>
          </w:tcPr>
          <w:p w:rsidR="00B117FB" w:rsidRPr="00095747" w:rsidRDefault="00B117FB" w:rsidP="00095747">
            <w:pPr>
              <w:rPr>
                <w:rFonts w:ascii="Bookman Old Style" w:hAnsi="Bookman Old Style"/>
                <w:sz w:val="22"/>
                <w:szCs w:val="22"/>
              </w:rPr>
            </w:pPr>
            <w:r w:rsidRPr="00095747">
              <w:rPr>
                <w:rFonts w:ascii="Bookman Old Style" w:hAnsi="Bookman Old Style"/>
                <w:sz w:val="22"/>
                <w:szCs w:val="22"/>
              </w:rPr>
              <w:t>Tipo de Resolución</w:t>
            </w:r>
          </w:p>
        </w:tc>
        <w:tc>
          <w:tcPr>
            <w:tcW w:w="1701" w:type="dxa"/>
            <w:shd w:val="clear" w:color="auto" w:fill="auto"/>
            <w:vAlign w:val="center"/>
          </w:tcPr>
          <w:p w:rsidR="00B117FB" w:rsidRPr="00095747" w:rsidRDefault="00B117FB" w:rsidP="00095747">
            <w:pPr>
              <w:jc w:val="center"/>
              <w:rPr>
                <w:rFonts w:ascii="Bookman Old Style" w:hAnsi="Bookman Old Style"/>
                <w:sz w:val="22"/>
                <w:szCs w:val="22"/>
              </w:rPr>
            </w:pPr>
            <w:r w:rsidRPr="00095747">
              <w:rPr>
                <w:rFonts w:ascii="Bookman Old Style" w:hAnsi="Bookman Old Style"/>
                <w:sz w:val="22"/>
                <w:szCs w:val="22"/>
              </w:rPr>
              <w:t>Sentencia</w:t>
            </w:r>
          </w:p>
        </w:tc>
      </w:tr>
    </w:tbl>
    <w:p w:rsidR="00B117FB" w:rsidRPr="0084751A" w:rsidRDefault="00B117FB" w:rsidP="00B117FB">
      <w:pPr>
        <w:spacing w:before="240"/>
        <w:jc w:val="both"/>
        <w:rPr>
          <w:rFonts w:ascii="Bookman Old Style" w:hAnsi="Bookman Old Style"/>
          <w:b/>
          <w:sz w:val="22"/>
          <w:szCs w:val="22"/>
        </w:rPr>
      </w:pPr>
      <w:r w:rsidRPr="0084751A">
        <w:rPr>
          <w:rFonts w:ascii="Bookman Old Style" w:hAnsi="Bookman Old Style"/>
          <w:b/>
          <w:sz w:val="22"/>
          <w:szCs w:val="22"/>
        </w:rPr>
        <w:t>EN NOMBRE DEL REY</w:t>
      </w:r>
    </w:p>
    <w:p w:rsidR="00B117FB" w:rsidRPr="0084751A" w:rsidRDefault="00B117FB" w:rsidP="00B117FB">
      <w:pPr>
        <w:spacing w:before="240"/>
        <w:jc w:val="both"/>
        <w:rPr>
          <w:rFonts w:ascii="Bookman Old Style" w:hAnsi="Bookman Old Style"/>
          <w:sz w:val="22"/>
          <w:szCs w:val="22"/>
        </w:rPr>
      </w:pPr>
      <w:r w:rsidRPr="0084751A">
        <w:rPr>
          <w:rFonts w:ascii="Bookman Old Style" w:hAnsi="Bookman Old Style"/>
          <w:sz w:val="22"/>
          <w:szCs w:val="22"/>
        </w:rPr>
        <w:t>La Sección 001 de la Sala de lo Contencioso-Administrativo del Tribunal Superior de Justicia de</w:t>
      </w:r>
      <w:r>
        <w:rPr>
          <w:rFonts w:ascii="Bookman Old Style" w:hAnsi="Bookman Old Style"/>
          <w:sz w:val="22"/>
          <w:szCs w:val="22"/>
        </w:rPr>
        <w:t xml:space="preserve"> </w:t>
      </w:r>
      <w:r w:rsidRPr="0084751A">
        <w:rPr>
          <w:rFonts w:ascii="Bookman Old Style" w:hAnsi="Bookman Old Style"/>
          <w:sz w:val="22"/>
          <w:szCs w:val="22"/>
        </w:rPr>
        <w:t>Galicia ha pronunciado la</w:t>
      </w:r>
    </w:p>
    <w:p w:rsidR="00B117FB" w:rsidRPr="0084751A" w:rsidRDefault="00B117FB" w:rsidP="00B117FB">
      <w:pPr>
        <w:spacing w:before="240"/>
        <w:jc w:val="both"/>
        <w:rPr>
          <w:rFonts w:ascii="Bookman Old Style" w:hAnsi="Bookman Old Style"/>
          <w:b/>
          <w:sz w:val="22"/>
          <w:szCs w:val="22"/>
        </w:rPr>
      </w:pPr>
      <w:r w:rsidRPr="0084751A">
        <w:rPr>
          <w:rFonts w:ascii="Bookman Old Style" w:hAnsi="Bookman Old Style"/>
          <w:b/>
          <w:sz w:val="22"/>
          <w:szCs w:val="22"/>
        </w:rPr>
        <w:t>SENTENCIA</w:t>
      </w:r>
    </w:p>
    <w:p w:rsidR="00B117FB" w:rsidRPr="0084751A" w:rsidRDefault="00B117FB" w:rsidP="00B117FB">
      <w:pPr>
        <w:spacing w:before="240"/>
        <w:jc w:val="center"/>
        <w:rPr>
          <w:rFonts w:ascii="Bookman Old Style" w:hAnsi="Bookman Old Style"/>
          <w:i/>
          <w:sz w:val="22"/>
          <w:szCs w:val="22"/>
        </w:rPr>
      </w:pPr>
      <w:r w:rsidRPr="0084751A">
        <w:rPr>
          <w:rFonts w:ascii="Bookman Old Style" w:hAnsi="Bookman Old Style"/>
          <w:i/>
          <w:sz w:val="22"/>
          <w:szCs w:val="22"/>
        </w:rPr>
        <w:t>A CORUÑA, veintisiete de Octubre de dos mil diez.</w:t>
      </w:r>
    </w:p>
    <w:p w:rsidR="00B117FB" w:rsidRPr="0084751A" w:rsidRDefault="00B117FB" w:rsidP="00B117FB">
      <w:pPr>
        <w:spacing w:before="240"/>
        <w:jc w:val="both"/>
        <w:rPr>
          <w:rFonts w:ascii="Bookman Old Style" w:hAnsi="Bookman Old Style"/>
          <w:sz w:val="22"/>
          <w:szCs w:val="22"/>
        </w:rPr>
      </w:pPr>
      <w:r w:rsidRPr="0084751A">
        <w:rPr>
          <w:rFonts w:ascii="Bookman Old Style" w:hAnsi="Bookman Old Style"/>
          <w:sz w:val="22"/>
          <w:szCs w:val="22"/>
        </w:rPr>
        <w:t>En el recurso contencioso-administrativo que, con el número 593/2008, pende de resolución ante esta</w:t>
      </w:r>
      <w:r>
        <w:rPr>
          <w:rFonts w:ascii="Bookman Old Style" w:hAnsi="Bookman Old Style"/>
          <w:sz w:val="22"/>
          <w:szCs w:val="22"/>
        </w:rPr>
        <w:t xml:space="preserve"> </w:t>
      </w:r>
      <w:r w:rsidRPr="0084751A">
        <w:rPr>
          <w:rFonts w:ascii="Bookman Old Style" w:hAnsi="Bookman Old Style"/>
          <w:sz w:val="22"/>
          <w:szCs w:val="22"/>
        </w:rPr>
        <w:t>Sala, interpuesto por Dª</w:t>
      </w:r>
      <w:r>
        <w:rPr>
          <w:rFonts w:ascii="Bookman Old Style" w:hAnsi="Bookman Old Style"/>
          <w:sz w:val="22"/>
          <w:szCs w:val="22"/>
        </w:rPr>
        <w:t xml:space="preserve"> </w:t>
      </w:r>
      <w:r w:rsidRPr="0084751A">
        <w:rPr>
          <w:rFonts w:ascii="Bookman Old Style" w:hAnsi="Bookman Old Style"/>
          <w:sz w:val="22"/>
          <w:szCs w:val="22"/>
        </w:rPr>
        <w:t>Jacinta, representada por la procuradora Dª CARMEN MARTINEZ UZAL, dirigida por el letrado D. FERNANDO-JAIME QUINZA-TORROJA GARCIA, contra ACUERDO CONCENTRACIÓN PARCELARIA ZONA DE BARONCELLE-ABADIN-LUGO-R-4. Es parte la Administración demandada la CONSELLERIA DE MEDIO RURAL, representada por el LETRADO DE LA XUNTA DE GALICIA.</w:t>
      </w:r>
    </w:p>
    <w:p w:rsidR="00B117FB" w:rsidRPr="0084751A" w:rsidRDefault="00B117FB" w:rsidP="00B117FB">
      <w:pPr>
        <w:spacing w:before="240"/>
        <w:jc w:val="both"/>
        <w:rPr>
          <w:rFonts w:ascii="Bookman Old Style" w:hAnsi="Bookman Old Style"/>
          <w:sz w:val="22"/>
          <w:szCs w:val="22"/>
        </w:rPr>
      </w:pPr>
      <w:r w:rsidRPr="0084751A">
        <w:rPr>
          <w:rFonts w:ascii="Bookman Old Style" w:hAnsi="Bookman Old Style"/>
          <w:sz w:val="22"/>
          <w:szCs w:val="22"/>
        </w:rPr>
        <w:t>Es ponente la Ilma. Sra. Dª DOLORES RIVERA FRADE.</w:t>
      </w:r>
    </w:p>
    <w:p w:rsidR="00B117FB" w:rsidRPr="0084751A" w:rsidRDefault="00B117FB" w:rsidP="00B117FB">
      <w:pPr>
        <w:spacing w:before="240"/>
        <w:jc w:val="both"/>
        <w:rPr>
          <w:rFonts w:ascii="Bookman Old Style" w:hAnsi="Bookman Old Style"/>
          <w:b/>
          <w:sz w:val="22"/>
          <w:szCs w:val="22"/>
          <w:u w:val="double"/>
        </w:rPr>
      </w:pPr>
      <w:r w:rsidRPr="0084751A">
        <w:rPr>
          <w:rFonts w:ascii="Bookman Old Style" w:hAnsi="Bookman Old Style"/>
          <w:b/>
          <w:sz w:val="22"/>
          <w:szCs w:val="22"/>
          <w:u w:val="double"/>
        </w:rPr>
        <w:t>ANTECEDENTES DE HECHO</w:t>
      </w:r>
    </w:p>
    <w:p w:rsidR="00B117FB" w:rsidRDefault="00B117FB" w:rsidP="00B117FB">
      <w:pPr>
        <w:spacing w:before="240"/>
        <w:jc w:val="both"/>
        <w:rPr>
          <w:rFonts w:ascii="Bookman Old Style" w:hAnsi="Bookman Old Style"/>
          <w:b/>
          <w:sz w:val="22"/>
          <w:szCs w:val="22"/>
        </w:rPr>
        <w:sectPr w:rsidR="00B117FB" w:rsidSect="002766BE">
          <w:headerReference w:type="default" r:id="rId8"/>
          <w:footerReference w:type="default" r:id="rId9"/>
          <w:endnotePr>
            <w:numFmt w:val="lowerLetter"/>
          </w:endnotePr>
          <w:pgSz w:w="11906" w:h="16838" w:code="9"/>
          <w:pgMar w:top="1418" w:right="1134" w:bottom="1418" w:left="1134" w:header="709" w:footer="709" w:gutter="0"/>
          <w:cols w:space="708"/>
          <w:docGrid w:linePitch="360"/>
        </w:sectPr>
      </w:pPr>
    </w:p>
    <w:p w:rsidR="00B117FB" w:rsidRPr="0084751A" w:rsidRDefault="00B117FB" w:rsidP="00B117FB">
      <w:pPr>
        <w:spacing w:before="240"/>
        <w:jc w:val="both"/>
        <w:rPr>
          <w:rFonts w:ascii="Bookman Old Style" w:hAnsi="Bookman Old Style"/>
          <w:sz w:val="22"/>
          <w:szCs w:val="22"/>
        </w:rPr>
      </w:pPr>
      <w:r w:rsidRPr="0084751A">
        <w:rPr>
          <w:rFonts w:ascii="Bookman Old Style" w:hAnsi="Bookman Old Style"/>
          <w:b/>
          <w:sz w:val="22"/>
          <w:szCs w:val="22"/>
        </w:rPr>
        <w:lastRenderedPageBreak/>
        <w:t>PRIMERO.-</w:t>
      </w:r>
      <w:r>
        <w:rPr>
          <w:rFonts w:ascii="Bookman Old Style" w:hAnsi="Bookman Old Style"/>
          <w:sz w:val="22"/>
          <w:szCs w:val="22"/>
        </w:rPr>
        <w:t xml:space="preserve"> Habiendo realizado las </w:t>
      </w:r>
      <w:r w:rsidRPr="0084751A">
        <w:rPr>
          <w:rFonts w:ascii="Bookman Old Style" w:hAnsi="Bookman Old Style"/>
          <w:sz w:val="22"/>
          <w:szCs w:val="22"/>
        </w:rPr>
        <w:t>diligencias oportunas y, recibido el expediente, se dio traslado del mismo a la parte recurrente para deducir la oportuna demanda, lo que se hizo a medio de escrito en el que, en síntesis, tras exponer los hechos y fundamentos de Derecho que se estimaron pertinentes, se acabó suplicando que se dictase sentencia por la que se declare la nulidad de la resolución que se recurre y se reconozca el derecho a que la Administración proceda a una nueva configuración de las fincas de reemplazo núms</w:t>
      </w:r>
      <w:r>
        <w:rPr>
          <w:rStyle w:val="Refdenotaalfinal"/>
          <w:rFonts w:ascii="Bookman Old Style" w:hAnsi="Bookman Old Style"/>
          <w:sz w:val="22"/>
          <w:szCs w:val="22"/>
        </w:rPr>
        <w:endnoteReference w:id="1"/>
      </w:r>
      <w:r w:rsidRPr="0084751A">
        <w:rPr>
          <w:rFonts w:ascii="Bookman Old Style" w:hAnsi="Bookman Old Style"/>
          <w:sz w:val="22"/>
          <w:szCs w:val="22"/>
        </w:rPr>
        <w:t>. NUM000 y NUM001, en la forma que solicita en el escrito de demanda; con expresa imposición de las costas a la parte demandada.</w:t>
      </w:r>
    </w:p>
    <w:p w:rsidR="00B117FB" w:rsidRPr="0084751A" w:rsidRDefault="00B117FB" w:rsidP="00B117FB">
      <w:pPr>
        <w:spacing w:before="240"/>
        <w:jc w:val="both"/>
        <w:rPr>
          <w:rFonts w:ascii="Bookman Old Style" w:hAnsi="Bookman Old Style"/>
          <w:sz w:val="22"/>
          <w:szCs w:val="22"/>
        </w:rPr>
      </w:pPr>
      <w:r w:rsidRPr="0084751A">
        <w:rPr>
          <w:rFonts w:ascii="Bookman Old Style" w:hAnsi="Bookman Old Style"/>
          <w:b/>
          <w:sz w:val="22"/>
          <w:szCs w:val="22"/>
        </w:rPr>
        <w:lastRenderedPageBreak/>
        <w:t>SEGUNDO.-</w:t>
      </w:r>
      <w:r w:rsidRPr="0084751A">
        <w:rPr>
          <w:rFonts w:ascii="Bookman Old Style" w:hAnsi="Bookman Old Style"/>
          <w:sz w:val="22"/>
          <w:szCs w:val="22"/>
        </w:rPr>
        <w:t xml:space="preserve"> Conferido traslado a la parte demandada, se solicitó la desestimación del recurso, de conformidad con los hechos y fundamentos de Derecho consignados en la contestación de la demanda.</w:t>
      </w:r>
    </w:p>
    <w:p w:rsidR="00B117FB" w:rsidRPr="0084751A" w:rsidRDefault="00B117FB" w:rsidP="00B117FB">
      <w:pPr>
        <w:spacing w:before="240"/>
        <w:jc w:val="both"/>
        <w:rPr>
          <w:rFonts w:ascii="Bookman Old Style" w:hAnsi="Bookman Old Style"/>
          <w:sz w:val="22"/>
          <w:szCs w:val="22"/>
        </w:rPr>
      </w:pPr>
      <w:r w:rsidRPr="0084751A">
        <w:rPr>
          <w:rFonts w:ascii="Bookman Old Style" w:hAnsi="Bookman Old Style"/>
          <w:b/>
          <w:sz w:val="22"/>
          <w:szCs w:val="22"/>
        </w:rPr>
        <w:t>TERCERO.-</w:t>
      </w:r>
      <w:r w:rsidRPr="0084751A">
        <w:rPr>
          <w:rFonts w:ascii="Bookman Old Style" w:hAnsi="Bookman Old Style"/>
          <w:sz w:val="22"/>
          <w:szCs w:val="22"/>
        </w:rPr>
        <w:t xml:space="preserve"> Habiéndose recibido el asunto a prueba y practicada ésta según obra en autos y declarado concluso el debate escrito, quedaron las actuaciones sobre la mesa para resolver.</w:t>
      </w:r>
    </w:p>
    <w:p w:rsidR="00B117FB" w:rsidRPr="0084751A" w:rsidRDefault="00B117FB" w:rsidP="00B117FB">
      <w:pPr>
        <w:spacing w:before="240"/>
        <w:jc w:val="both"/>
        <w:rPr>
          <w:rFonts w:ascii="Bookman Old Style" w:hAnsi="Bookman Old Style"/>
          <w:sz w:val="22"/>
          <w:szCs w:val="22"/>
        </w:rPr>
      </w:pPr>
      <w:r w:rsidRPr="0084751A">
        <w:rPr>
          <w:rFonts w:ascii="Bookman Old Style" w:hAnsi="Bookman Old Style"/>
          <w:b/>
          <w:sz w:val="22"/>
          <w:szCs w:val="22"/>
        </w:rPr>
        <w:t>CUARTO.-</w:t>
      </w:r>
      <w:r w:rsidRPr="0084751A">
        <w:rPr>
          <w:rFonts w:ascii="Bookman Old Style" w:hAnsi="Bookman Old Style"/>
          <w:sz w:val="22"/>
          <w:szCs w:val="22"/>
        </w:rPr>
        <w:t xml:space="preserve"> En la sustanciación del recurso se han observado las prescripciones legales, siendo la cuantía del mismo indeterminada.</w:t>
      </w:r>
    </w:p>
    <w:p w:rsidR="00B117FB" w:rsidRDefault="00B117FB" w:rsidP="00B117FB">
      <w:pPr>
        <w:spacing w:before="240"/>
        <w:jc w:val="both"/>
        <w:rPr>
          <w:rFonts w:ascii="Bookman Old Style" w:hAnsi="Bookman Old Style"/>
          <w:b/>
          <w:sz w:val="22"/>
          <w:szCs w:val="22"/>
          <w:u w:val="double"/>
        </w:rPr>
        <w:sectPr w:rsidR="00B117FB" w:rsidSect="00D53C2E">
          <w:endnotePr>
            <w:numFmt w:val="lowerLetter"/>
          </w:endnotePr>
          <w:type w:val="continuous"/>
          <w:pgSz w:w="11906" w:h="16838" w:code="9"/>
          <w:pgMar w:top="1418" w:right="1134" w:bottom="1418" w:left="1134" w:header="709" w:footer="709" w:gutter="0"/>
          <w:cols w:num="2" w:space="568" w:equalWidth="0">
            <w:col w:w="4394" w:space="568"/>
            <w:col w:w="4676"/>
          </w:cols>
          <w:docGrid w:linePitch="360"/>
        </w:sectPr>
      </w:pPr>
    </w:p>
    <w:p w:rsidR="00B117FB" w:rsidRPr="0084751A" w:rsidRDefault="00B117FB" w:rsidP="00B117FB">
      <w:pPr>
        <w:spacing w:before="240"/>
        <w:jc w:val="both"/>
        <w:rPr>
          <w:rFonts w:ascii="Bookman Old Style" w:hAnsi="Bookman Old Style"/>
          <w:b/>
          <w:sz w:val="22"/>
          <w:szCs w:val="22"/>
          <w:u w:val="double"/>
        </w:rPr>
      </w:pPr>
      <w:r w:rsidRPr="0084751A">
        <w:rPr>
          <w:rFonts w:ascii="Bookman Old Style" w:hAnsi="Bookman Old Style"/>
          <w:b/>
          <w:sz w:val="22"/>
          <w:szCs w:val="22"/>
          <w:u w:val="double"/>
        </w:rPr>
        <w:lastRenderedPageBreak/>
        <w:t>FUNDAMENTOS JURIDICOS</w:t>
      </w:r>
    </w:p>
    <w:p w:rsidR="00B117FB" w:rsidRPr="0084751A" w:rsidRDefault="00B117FB" w:rsidP="00B117FB">
      <w:pPr>
        <w:spacing w:before="240"/>
        <w:jc w:val="both"/>
        <w:rPr>
          <w:rFonts w:ascii="Bookman Old Style" w:hAnsi="Bookman Old Style"/>
          <w:sz w:val="22"/>
          <w:szCs w:val="22"/>
        </w:rPr>
      </w:pPr>
      <w:r w:rsidRPr="0084751A">
        <w:rPr>
          <w:rFonts w:ascii="Bookman Old Style" w:hAnsi="Bookman Old Style"/>
          <w:b/>
          <w:sz w:val="22"/>
          <w:szCs w:val="22"/>
        </w:rPr>
        <w:t>PRIMERO.-</w:t>
      </w:r>
      <w:r w:rsidRPr="0084751A">
        <w:rPr>
          <w:rFonts w:ascii="Bookman Old Style" w:hAnsi="Bookman Old Style"/>
          <w:sz w:val="22"/>
          <w:szCs w:val="22"/>
        </w:rPr>
        <w:t xml:space="preserve"> La recurrente en este procedimiento,</w:t>
      </w:r>
      <w:r>
        <w:rPr>
          <w:rFonts w:ascii="Bookman Old Style" w:hAnsi="Bookman Old Style"/>
          <w:sz w:val="22"/>
          <w:szCs w:val="22"/>
        </w:rPr>
        <w:t xml:space="preserve"> </w:t>
      </w:r>
      <w:r w:rsidRPr="0084751A">
        <w:rPr>
          <w:rFonts w:ascii="Bookman Old Style" w:hAnsi="Bookman Old Style"/>
          <w:sz w:val="22"/>
          <w:szCs w:val="22"/>
        </w:rPr>
        <w:t xml:space="preserve">doña Jacinta, como propietaria número NUM002 de la zona de concentración parcelaria de Baroncelle, Abadín </w:t>
      </w:r>
      <w:r w:rsidRPr="00F14053">
        <w:rPr>
          <w:rStyle w:val="nfasis"/>
        </w:rPr>
        <w:t>(Lugo)</w:t>
      </w:r>
      <w:r w:rsidRPr="0084751A">
        <w:rPr>
          <w:rFonts w:ascii="Bookman Old Style" w:hAnsi="Bookman Old Style"/>
          <w:sz w:val="22"/>
          <w:szCs w:val="22"/>
        </w:rPr>
        <w:t xml:space="preserve">, impugna la resolución dictada por el Secretario Xeral de la Consellería de Medio Rural de fecha 19 de febrero de 2008 por la que se estima parcialmente el recurso de alzada interpuesto por la recurrente contra el acuerdo de concentración parcelaria de la zona de Baroncelle, Abadín </w:t>
      </w:r>
      <w:r w:rsidRPr="00F14053">
        <w:rPr>
          <w:rStyle w:val="nfasis"/>
        </w:rPr>
        <w:t>(Lugo)</w:t>
      </w:r>
      <w:r w:rsidRPr="0084751A">
        <w:rPr>
          <w:rFonts w:ascii="Bookman Old Style" w:hAnsi="Bookman Old Style"/>
          <w:sz w:val="22"/>
          <w:szCs w:val="22"/>
        </w:rPr>
        <w:t xml:space="preserve">, tan sólo en el sentido de modificar las fincas números NUM000 y NUM001 adjudicadas a la actora </w:t>
      </w:r>
      <w:r w:rsidRPr="00F14053">
        <w:rPr>
          <w:rStyle w:val="nfasis"/>
        </w:rPr>
        <w:t>(propietaria número NUM003)</w:t>
      </w:r>
      <w:r w:rsidRPr="0084751A">
        <w:rPr>
          <w:rFonts w:ascii="Bookman Old Style" w:hAnsi="Bookman Old Style"/>
          <w:sz w:val="22"/>
          <w:szCs w:val="22"/>
        </w:rPr>
        <w:t xml:space="preserve"> de manera que la edificación quede incluida en la finca privativa, pero permaneciendo las dos fincas con acceso directo a camino público y con la misma superficie y valor en puntos que en el acuerdo de concentración.</w:t>
      </w:r>
    </w:p>
    <w:p w:rsidR="00B117FB" w:rsidRPr="0084751A" w:rsidRDefault="00B117FB" w:rsidP="00B117FB">
      <w:pPr>
        <w:spacing w:before="240"/>
        <w:jc w:val="both"/>
        <w:rPr>
          <w:rFonts w:ascii="Bookman Old Style" w:hAnsi="Bookman Old Style"/>
          <w:sz w:val="22"/>
          <w:szCs w:val="22"/>
        </w:rPr>
      </w:pPr>
      <w:r w:rsidRPr="0084751A">
        <w:rPr>
          <w:rFonts w:ascii="Bookman Old Style" w:hAnsi="Bookman Old Style"/>
          <w:b/>
          <w:sz w:val="22"/>
          <w:szCs w:val="22"/>
        </w:rPr>
        <w:lastRenderedPageBreak/>
        <w:t>SEGUNDO.-</w:t>
      </w:r>
      <w:r w:rsidRPr="0084751A">
        <w:rPr>
          <w:rFonts w:ascii="Bookman Old Style" w:hAnsi="Bookman Old Style"/>
          <w:sz w:val="22"/>
          <w:szCs w:val="22"/>
        </w:rPr>
        <w:t xml:space="preserve"> Cierto es que el artículo 173 de la Ley de reforma y desarrollo agrario 118/1973, de 12 de enero dispone que la concentración parcelaria tendrá como primordial finalidad la constitución de explotaciones de estructura y dimensiones adecuadas, a cuyo efecto, y realizando las compensaciones entre clases de tierras que resulten necesarias, se procurará adjudicar a cada propietario </w:t>
      </w:r>
      <w:r w:rsidRPr="00F14053">
        <w:rPr>
          <w:rStyle w:val="nfasis"/>
        </w:rPr>
        <w:t>(...)</w:t>
      </w:r>
      <w:r w:rsidRPr="0084751A">
        <w:rPr>
          <w:rFonts w:ascii="Bookman Old Style" w:hAnsi="Bookman Old Style"/>
          <w:sz w:val="22"/>
          <w:szCs w:val="22"/>
        </w:rPr>
        <w:t xml:space="preserve"> una superficie de la misma clase de cultivo y cuyo valor, según las bases de la concentración, sea igual al que en las mismas hubiera sido asignado a las parcelas que anteriormente poseía", y en cuanto al emplazamiento de</w:t>
      </w:r>
      <w:r>
        <w:rPr>
          <w:rFonts w:ascii="Bookman Old Style" w:hAnsi="Bookman Old Style"/>
          <w:sz w:val="22"/>
          <w:szCs w:val="22"/>
        </w:rPr>
        <w:t xml:space="preserve"> </w:t>
      </w:r>
      <w:r w:rsidRPr="0084751A">
        <w:rPr>
          <w:rFonts w:ascii="Bookman Old Style" w:hAnsi="Bookman Old Style"/>
          <w:sz w:val="22"/>
          <w:szCs w:val="22"/>
        </w:rPr>
        <w:t>mejor modo su explotación desde el lugar en que radique la casa de labor y la vivienda del interesado, y su</w:t>
      </w:r>
      <w:r>
        <w:rPr>
          <w:rFonts w:ascii="Bookman Old Style" w:hAnsi="Bookman Old Style"/>
          <w:sz w:val="22"/>
          <w:szCs w:val="22"/>
        </w:rPr>
        <w:t xml:space="preserve"> </w:t>
      </w:r>
      <w:r w:rsidRPr="0084751A">
        <w:rPr>
          <w:rFonts w:ascii="Bookman Old Style" w:hAnsi="Bookman Old Style"/>
          <w:sz w:val="22"/>
          <w:szCs w:val="22"/>
        </w:rPr>
        <w:t xml:space="preserve">finca más importante </w:t>
      </w:r>
      <w:r>
        <w:rPr>
          <w:rFonts w:ascii="Bookman Old Style" w:hAnsi="Bookman Old Style"/>
          <w:sz w:val="22"/>
          <w:szCs w:val="22"/>
        </w:rPr>
        <w:t>de la Ley 12/2001</w:t>
      </w:r>
      <w:r w:rsidRPr="0084751A">
        <w:rPr>
          <w:rFonts w:ascii="Bookman Old Style" w:hAnsi="Bookman Old Style"/>
          <w:sz w:val="22"/>
          <w:szCs w:val="22"/>
        </w:rPr>
        <w:t>.</w:t>
      </w:r>
    </w:p>
    <w:p w:rsidR="00B117FB" w:rsidRPr="0084751A" w:rsidRDefault="00B117FB" w:rsidP="00B117FB">
      <w:pPr>
        <w:spacing w:before="240"/>
        <w:jc w:val="both"/>
        <w:rPr>
          <w:rFonts w:ascii="Bookman Old Style" w:hAnsi="Bookman Old Style"/>
          <w:sz w:val="22"/>
          <w:szCs w:val="22"/>
        </w:rPr>
      </w:pPr>
      <w:r w:rsidRPr="0084751A">
        <w:rPr>
          <w:rFonts w:ascii="Bookman Old Style" w:hAnsi="Bookman Old Style"/>
          <w:b/>
          <w:sz w:val="22"/>
          <w:szCs w:val="22"/>
        </w:rPr>
        <w:t>TERCERO.-</w:t>
      </w:r>
      <w:r w:rsidRPr="0084751A">
        <w:rPr>
          <w:rFonts w:ascii="Bookman Old Style" w:hAnsi="Bookman Old Style"/>
          <w:sz w:val="22"/>
          <w:szCs w:val="22"/>
        </w:rPr>
        <w:t xml:space="preserve"> Y esto es lo que sucede en el presente caso, en el que no se aprecia vulneración alguna de las normas sobre adjudicación de las fincas de reemplazo, pues comenzando por el estudio del tema relativo a la valoración de las fincas de aportación y reemplazo cabe recordar que, de conformidad con la literalidad de la norma </w:t>
      </w:r>
      <w:r w:rsidRPr="00F14053">
        <w:rPr>
          <w:rStyle w:val="nfasis"/>
        </w:rPr>
        <w:t>(artículo 27 de la Ley 10/1985)</w:t>
      </w:r>
      <w:r w:rsidR="00F14053">
        <w:rPr>
          <w:rFonts w:ascii="Bookman Old Style" w:hAnsi="Bookman Old Style"/>
          <w:sz w:val="22"/>
          <w:szCs w:val="22"/>
        </w:rPr>
        <w:t xml:space="preserve">, </w:t>
      </w:r>
      <w:r w:rsidRPr="0084751A">
        <w:rPr>
          <w:rFonts w:ascii="Bookman Old Style" w:hAnsi="Bookman Old Style"/>
          <w:sz w:val="22"/>
          <w:szCs w:val="22"/>
        </w:rPr>
        <w:t>las fincas de concentración sólo podrán ser valoradas con arreglo a criterios edafológicos y productivos, asignándose a cada clase un valor relativo, al efecto de llevar a cabo las compensaciones que resulten necesarias.</w:t>
      </w:r>
    </w:p>
    <w:p w:rsidR="00B117FB" w:rsidRPr="0084751A" w:rsidRDefault="00B117FB" w:rsidP="00B117FB">
      <w:pPr>
        <w:spacing w:before="240"/>
        <w:jc w:val="both"/>
        <w:rPr>
          <w:rFonts w:ascii="Bookman Old Style" w:hAnsi="Bookman Old Style"/>
          <w:sz w:val="22"/>
          <w:szCs w:val="22"/>
        </w:rPr>
      </w:pPr>
      <w:r w:rsidRPr="0084751A">
        <w:rPr>
          <w:rFonts w:ascii="Bookman Old Style" w:hAnsi="Bookman Old Style"/>
          <w:b/>
          <w:sz w:val="22"/>
          <w:szCs w:val="22"/>
        </w:rPr>
        <w:t>CUARTO.-</w:t>
      </w:r>
      <w:r w:rsidRPr="0084751A">
        <w:rPr>
          <w:rFonts w:ascii="Bookman Old Style" w:hAnsi="Bookman Old Style"/>
          <w:sz w:val="22"/>
          <w:szCs w:val="22"/>
        </w:rPr>
        <w:t xml:space="preserve"> En todo caso, por lo que a la valoración del perjuicio económico se refiere, cabe decir que cuando se pidió al perito designado judicialmente que cuantificase la merma de valor de lo adjudicado en el acuerdo en relación con lo aportado en bases, informó que la merma de favor de lo adjudicado, fincas NUM000 y la NUM001, no disponiendo de frente a la carretera, en relación con lo aportado en Bases </w:t>
      </w:r>
      <w:r w:rsidRPr="00F14053">
        <w:rPr>
          <w:rStyle w:val="nfasis"/>
        </w:rPr>
        <w:t>(finca número NUM007)</w:t>
      </w:r>
      <w:r w:rsidRPr="0084751A">
        <w:rPr>
          <w:rFonts w:ascii="Bookman Old Style" w:hAnsi="Bookman Old Style"/>
          <w:sz w:val="22"/>
          <w:szCs w:val="22"/>
        </w:rPr>
        <w:t xml:space="preserve"> con unos 20 metros de frente a la carretera que prestaba un servicio amplio de acceso por el camino privado abierto entre las NUM007 y NUM010, la estimó en 20.000 euros. Al responder a las aclaraciones que le formuló el Letrado de la Administración demandada, manifestó que para fijar esa merma de valor se ha atendido al demérito que se produce en la finca de la recurrente al no disponer de frente alguno a la carretera, y para ese cálculo se han tenido en cuenta criterios de situación de la finca.</w:t>
      </w:r>
    </w:p>
    <w:p w:rsidR="00B117FB" w:rsidRPr="0084751A" w:rsidRDefault="00B117FB" w:rsidP="00B117FB">
      <w:pPr>
        <w:spacing w:before="240"/>
        <w:jc w:val="both"/>
        <w:rPr>
          <w:rFonts w:ascii="Bookman Old Style" w:hAnsi="Bookman Old Style"/>
          <w:sz w:val="22"/>
          <w:szCs w:val="22"/>
        </w:rPr>
      </w:pPr>
      <w:r w:rsidRPr="0084751A">
        <w:rPr>
          <w:rFonts w:ascii="Bookman Old Style" w:hAnsi="Bookman Old Style"/>
          <w:b/>
          <w:sz w:val="22"/>
          <w:szCs w:val="22"/>
        </w:rPr>
        <w:t>QUINTO.-</w:t>
      </w:r>
      <w:r w:rsidRPr="0084751A">
        <w:rPr>
          <w:rFonts w:ascii="Bookman Old Style" w:hAnsi="Bookman Old Style"/>
          <w:sz w:val="22"/>
          <w:szCs w:val="22"/>
        </w:rPr>
        <w:t xml:space="preserve"> Al no apreciarse temeridad o mala fe en la interposición del recurso, no procede hacer expresa condena en las costas del mismo, de conformidad a las previsiones del artículo 139.1 de la Ley Reguladora de la Jurisdicción Contencioso-Administrativa.</w:t>
      </w:r>
    </w:p>
    <w:p w:rsidR="00B117FB" w:rsidRPr="0084751A" w:rsidRDefault="00B117FB" w:rsidP="00B117FB">
      <w:pPr>
        <w:spacing w:before="240"/>
        <w:jc w:val="both"/>
        <w:rPr>
          <w:rFonts w:ascii="Bookman Old Style" w:hAnsi="Bookman Old Style"/>
          <w:sz w:val="22"/>
          <w:szCs w:val="22"/>
        </w:rPr>
      </w:pPr>
      <w:r w:rsidRPr="0084751A">
        <w:rPr>
          <w:rFonts w:ascii="Bookman Old Style" w:hAnsi="Bookman Old Style"/>
          <w:sz w:val="22"/>
          <w:szCs w:val="22"/>
        </w:rPr>
        <w:t>VISTOS los artículos citados y demás preceptos de general y pertinente aplicación.</w:t>
      </w:r>
    </w:p>
    <w:p w:rsidR="00B117FB" w:rsidRPr="0084751A" w:rsidRDefault="00B117FB" w:rsidP="00B117FB">
      <w:pPr>
        <w:spacing w:before="240"/>
        <w:jc w:val="both"/>
        <w:rPr>
          <w:rFonts w:ascii="Bookman Old Style" w:hAnsi="Bookman Old Style"/>
          <w:b/>
          <w:sz w:val="22"/>
          <w:szCs w:val="22"/>
          <w:u w:val="double"/>
        </w:rPr>
      </w:pPr>
      <w:r w:rsidRPr="0084751A">
        <w:rPr>
          <w:rFonts w:ascii="Bookman Old Style" w:hAnsi="Bookman Old Style"/>
          <w:b/>
          <w:sz w:val="22"/>
          <w:szCs w:val="22"/>
          <w:u w:val="double"/>
        </w:rPr>
        <w:t>FALLAMOS</w:t>
      </w:r>
    </w:p>
    <w:p w:rsidR="00B117FB" w:rsidRPr="0084751A" w:rsidRDefault="00B117FB" w:rsidP="00B117FB">
      <w:pPr>
        <w:spacing w:before="240"/>
        <w:jc w:val="both"/>
        <w:rPr>
          <w:rFonts w:ascii="Bookman Old Style" w:hAnsi="Bookman Old Style"/>
          <w:sz w:val="22"/>
          <w:szCs w:val="22"/>
        </w:rPr>
      </w:pPr>
      <w:r w:rsidRPr="0084751A">
        <w:rPr>
          <w:rFonts w:ascii="Bookman Old Style" w:hAnsi="Bookman Old Style"/>
          <w:sz w:val="22"/>
          <w:szCs w:val="22"/>
        </w:rPr>
        <w:t>que debemos desestimar y desestimamos el recurso contencioso administrativo interpuesto por</w:t>
      </w:r>
      <w:r>
        <w:rPr>
          <w:rFonts w:ascii="Bookman Old Style" w:hAnsi="Bookman Old Style"/>
          <w:sz w:val="22"/>
          <w:szCs w:val="22"/>
        </w:rPr>
        <w:t xml:space="preserve"> </w:t>
      </w:r>
      <w:r w:rsidRPr="0084751A">
        <w:rPr>
          <w:rFonts w:ascii="Bookman Old Style" w:hAnsi="Bookman Old Style"/>
          <w:sz w:val="22"/>
          <w:szCs w:val="22"/>
        </w:rPr>
        <w:t>DOÑA Jacinta contra la resolución dictada por el Secretario Xeral de la Consellería de Medio Rural de fecha</w:t>
      </w:r>
      <w:r>
        <w:rPr>
          <w:rFonts w:ascii="Bookman Old Style" w:hAnsi="Bookman Old Style"/>
          <w:sz w:val="22"/>
          <w:szCs w:val="22"/>
        </w:rPr>
        <w:t xml:space="preserve"> </w:t>
      </w:r>
      <w:r w:rsidRPr="0084751A">
        <w:rPr>
          <w:rFonts w:ascii="Bookman Old Style" w:hAnsi="Bookman Old Style"/>
          <w:sz w:val="22"/>
          <w:szCs w:val="22"/>
        </w:rPr>
        <w:t xml:space="preserve">19 de febrero de 2008 por la que se estima parcialmente el recurso de alzada interpuesto por la recurrente contra el acuerdo de concentración parcelaria de la zona de Baroncelle, Abadín </w:t>
      </w:r>
      <w:r w:rsidRPr="00F14053">
        <w:rPr>
          <w:rStyle w:val="nfasis"/>
        </w:rPr>
        <w:t>(Lugo)</w:t>
      </w:r>
      <w:r w:rsidRPr="0084751A">
        <w:rPr>
          <w:rFonts w:ascii="Bookman Old Style" w:hAnsi="Bookman Old Style"/>
          <w:sz w:val="22"/>
          <w:szCs w:val="22"/>
        </w:rPr>
        <w:t xml:space="preserve">, tan sólo en el sentido de modificar las fincas números NUM000 y NUM001 adjudicadas a la actora </w:t>
      </w:r>
      <w:r w:rsidRPr="00F14053">
        <w:rPr>
          <w:rStyle w:val="nfasis"/>
        </w:rPr>
        <w:t>(propietaria número NUM003)</w:t>
      </w:r>
      <w:r w:rsidRPr="0084751A">
        <w:rPr>
          <w:rFonts w:ascii="Bookman Old Style" w:hAnsi="Bookman Old Style"/>
          <w:sz w:val="22"/>
          <w:szCs w:val="22"/>
        </w:rPr>
        <w:t xml:space="preserve"> de manera que la edificación quede incluida en la finca privativa, pero permaneciendo las dos fincas con acceso directo a camino público y con la misma superficie y valor en puntos que en el acuerdo de concentración; sin hacer imposición de costas.</w:t>
      </w:r>
    </w:p>
    <w:p w:rsidR="00B117FB" w:rsidRPr="0084751A" w:rsidRDefault="00B117FB" w:rsidP="00B117FB">
      <w:pPr>
        <w:spacing w:before="240"/>
        <w:jc w:val="both"/>
        <w:rPr>
          <w:rFonts w:ascii="Bookman Old Style" w:hAnsi="Bookman Old Style"/>
          <w:sz w:val="22"/>
          <w:szCs w:val="22"/>
        </w:rPr>
      </w:pPr>
      <w:r w:rsidRPr="0084751A">
        <w:rPr>
          <w:rFonts w:ascii="Bookman Old Style" w:hAnsi="Bookman Old Style"/>
          <w:sz w:val="22"/>
          <w:szCs w:val="22"/>
        </w:rPr>
        <w:t>Notifíquese a las partes y, en su momento, devuélvase el expediente administrativo a su procedencia, con certificación de esta resolución.</w:t>
      </w:r>
    </w:p>
    <w:p w:rsidR="00691386" w:rsidRPr="00691386" w:rsidRDefault="00B117FB" w:rsidP="00F10552">
      <w:pPr>
        <w:spacing w:before="240"/>
        <w:jc w:val="both"/>
      </w:pPr>
      <w:r w:rsidRPr="0084751A">
        <w:rPr>
          <w:rFonts w:ascii="Bookman Old Style" w:hAnsi="Bookman Old Style"/>
          <w:sz w:val="22"/>
          <w:szCs w:val="22"/>
        </w:rPr>
        <w:t>Así lo pron</w:t>
      </w:r>
      <w:r w:rsidR="00F10552">
        <w:rPr>
          <w:rFonts w:ascii="Bookman Old Style" w:hAnsi="Bookman Old Style"/>
          <w:sz w:val="22"/>
          <w:szCs w:val="22"/>
        </w:rPr>
        <w:t>unciamos, mandamos y firmamos</w:t>
      </w:r>
    </w:p>
    <w:sectPr w:rsidR="00691386" w:rsidRPr="00691386" w:rsidSect="00F10552">
      <w:headerReference w:type="default" r:id="rId10"/>
      <w:footerReference w:type="default" r:id="rId11"/>
      <w:endnotePr>
        <w:numFmt w:val="lowerLetter"/>
      </w:endnotePr>
      <w:type w:val="continuous"/>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301" w:rsidRDefault="00264301">
      <w:r>
        <w:separator/>
      </w:r>
    </w:p>
  </w:endnote>
  <w:endnote w:type="continuationSeparator" w:id="0">
    <w:p w:rsidR="00264301" w:rsidRDefault="00264301">
      <w:r>
        <w:continuationSeparator/>
      </w:r>
    </w:p>
  </w:endnote>
  <w:endnote w:id="1">
    <w:p w:rsidR="00B117FB" w:rsidRPr="00B117FB" w:rsidRDefault="00B117FB">
      <w:pPr>
        <w:pStyle w:val="Textonotaalfinal"/>
        <w:rPr>
          <w:rFonts w:ascii="Bookman Old Style" w:hAnsi="Bookman Old Style"/>
          <w:sz w:val="22"/>
          <w:szCs w:val="22"/>
        </w:rPr>
      </w:pPr>
      <w:r>
        <w:rPr>
          <w:rStyle w:val="Refdenotaalfinal"/>
        </w:rPr>
        <w:endnoteRef/>
      </w:r>
      <w:r>
        <w:t xml:space="preserve"> </w:t>
      </w:r>
      <w:r w:rsidR="00D53C2E">
        <w:rPr>
          <w:rFonts w:ascii="Bookman Old Style" w:hAnsi="Bookman Old Style"/>
          <w:sz w:val="22"/>
          <w:szCs w:val="22"/>
        </w:rPr>
        <w:t>Los números no serán mostrados</w:t>
      </w:r>
      <w:r w:rsidRPr="00B117FB">
        <w:rPr>
          <w:rFonts w:ascii="Bookman Old Style" w:hAnsi="Bookman Old Style"/>
          <w:sz w:val="22"/>
          <w:szCs w:val="22"/>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7FB" w:rsidRPr="003A7AC2" w:rsidRDefault="00B117FB" w:rsidP="003A7AC2">
    <w:pPr>
      <w:pStyle w:val="Piedepgina"/>
    </w:pPr>
    <w:r>
      <w:t>Nombre Apellido 1 Apellido 2</w:t>
    </w:r>
    <w:r>
      <w:tab/>
    </w:r>
    <w:r>
      <w:fldChar w:fldCharType="begin"/>
    </w:r>
    <w:r>
      <w:instrText xml:space="preserve"> DATE  \@ "dd' de 'MMMM' de 'yyyy" </w:instrText>
    </w:r>
    <w:r>
      <w:fldChar w:fldCharType="separate"/>
    </w:r>
    <w:r w:rsidR="001412A5">
      <w:rPr>
        <w:noProof/>
      </w:rPr>
      <w:t>26 de julio de 2016</w:t>
    </w:r>
    <w:r>
      <w:fldChar w:fldCharType="end"/>
    </w:r>
    <w:r>
      <w:t xml:space="preserve"> - </w:t>
    </w:r>
    <w:r>
      <w:fldChar w:fldCharType="begin"/>
    </w:r>
    <w:r>
      <w:instrText xml:space="preserve"> TIME  \@ "HH:mm" </w:instrText>
    </w:r>
    <w:r>
      <w:fldChar w:fldCharType="separate"/>
    </w:r>
    <w:r w:rsidR="001412A5">
      <w:rPr>
        <w:noProof/>
      </w:rPr>
      <w:t>03:38</w:t>
    </w:r>
    <w:r>
      <w:fldChar w:fldCharType="end"/>
    </w:r>
    <w:r>
      <w:tab/>
      <w:t xml:space="preserve">Página </w:t>
    </w:r>
    <w:r>
      <w:fldChar w:fldCharType="begin"/>
    </w:r>
    <w:r>
      <w:instrText xml:space="preserve"> PAGE </w:instrText>
    </w:r>
    <w:r>
      <w:fldChar w:fldCharType="separate"/>
    </w:r>
    <w:r w:rsidR="001412A5">
      <w:rPr>
        <w:noProof/>
      </w:rPr>
      <w:t>1</w:t>
    </w:r>
    <w:r>
      <w:fldChar w:fldCharType="end"/>
    </w:r>
    <w:r>
      <w:t xml:space="preserve"> de </w:t>
    </w:r>
    <w:fldSimple w:instr=" NUMPAGES ">
      <w:r w:rsidR="001412A5">
        <w:rPr>
          <w:noProof/>
        </w:rPr>
        <w:t>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093774" w:rsidRDefault="00093774" w:rsidP="00093774">
    <w:pPr>
      <w:pStyle w:val="Piedepgina"/>
      <w:tabs>
        <w:tab w:val="clear" w:pos="4820"/>
        <w:tab w:val="center" w:pos="4536"/>
        <w:tab w:val="right" w:pos="9072"/>
      </w:tabs>
    </w:pPr>
    <w:r>
      <w:t>INSTRUCCIONES</w:t>
    </w:r>
    <w:r>
      <w:tab/>
      <w:t>[</w:t>
    </w:r>
    <w:r w:rsidR="001412A5">
      <w:fldChar w:fldCharType="begin"/>
    </w:r>
    <w:r w:rsidR="001412A5">
      <w:instrText xml:space="preserve"> TITLE  \* Upper  \* MERGEFORMAT </w:instrText>
    </w:r>
    <w:r w:rsidR="001412A5">
      <w:fldChar w:fldCharType="separate"/>
    </w:r>
    <w:r w:rsidR="00D41797">
      <w:t>STSJ GAL 8899-2010</w:t>
    </w:r>
    <w:r w:rsidR="001412A5">
      <w:fldChar w:fldCharType="end"/>
    </w:r>
    <w:r>
      <w:t>.DOC]</w:t>
    </w:r>
    <w:r>
      <w:tab/>
      <w:t>10 DE ENERO DE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301" w:rsidRDefault="00264301">
      <w:r>
        <w:separator/>
      </w:r>
    </w:p>
  </w:footnote>
  <w:footnote w:type="continuationSeparator" w:id="0">
    <w:p w:rsidR="00264301" w:rsidRDefault="002643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7FB" w:rsidRPr="00D64A0B" w:rsidRDefault="00D64A0B" w:rsidP="00D64A0B">
    <w:pPr>
      <w:pStyle w:val="Encabezado"/>
      <w:tabs>
        <w:tab w:val="clear" w:pos="4252"/>
      </w:tabs>
    </w:pPr>
    <w:r>
      <w:t>TRIBUNAL SUPERIOR DE JUSTICIA</w:t>
    </w:r>
    <w:r>
      <w:tab/>
      <w:t>A CORUÑA</w:t>
    </w:r>
    <w:r>
      <w:tab/>
      <w:t>SECCIÓN Nº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3A7AC2" w:rsidRDefault="00997F2A" w:rsidP="00BB4B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82A2602"/>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BFB0696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4FEECF9A"/>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26A4A4E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A4B41FA6"/>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F4C6D1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705299C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6978AA58"/>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9"/>
    <w:multiLevelType w:val="singleLevel"/>
    <w:tmpl w:val="62A4BE38"/>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0D150FF0"/>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757754B"/>
    <w:multiLevelType w:val="hybridMultilevel"/>
    <w:tmpl w:val="C3C01900"/>
    <w:lvl w:ilvl="0" w:tplc="943A06B6">
      <w:start w:val="1"/>
      <w:numFmt w:val="decimal"/>
      <w:pStyle w:val="ENUNCIADO-Numeracin"/>
      <w:lvlText w:val="%1."/>
      <w:lvlJc w:val="left"/>
      <w:pPr>
        <w:tabs>
          <w:tab w:val="num" w:pos="680"/>
        </w:tabs>
        <w:ind w:left="34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A175FFB"/>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336A1D34"/>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F585341"/>
    <w:multiLevelType w:val="hybridMultilevel"/>
    <w:tmpl w:val="D91200D4"/>
    <w:lvl w:ilvl="0" w:tplc="2DF218D4">
      <w:start w:val="1"/>
      <w:numFmt w:val="bullet"/>
      <w:pStyle w:val="ENUNCIADO-Vietas"/>
      <w:lvlText w:val=""/>
      <w:lvlJc w:val="left"/>
      <w:pPr>
        <w:tabs>
          <w:tab w:val="num" w:pos="680"/>
        </w:tabs>
        <w:ind w:left="34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59404288"/>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634B6D27"/>
    <w:multiLevelType w:val="hybridMultilevel"/>
    <w:tmpl w:val="8B8632A0"/>
    <w:lvl w:ilvl="0" w:tplc="7436AB78">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90114FC"/>
    <w:multiLevelType w:val="multilevel"/>
    <w:tmpl w:val="4A1C7700"/>
    <w:lvl w:ilvl="0">
      <w:start w:val="1"/>
      <w:numFmt w:val="bullet"/>
      <w:lvlText w:val=""/>
      <w:lvlJc w:val="left"/>
      <w:pPr>
        <w:tabs>
          <w:tab w:val="num" w:pos="680"/>
        </w:tabs>
        <w:ind w:left="34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2E50685"/>
    <w:multiLevelType w:val="hybridMultilevel"/>
    <w:tmpl w:val="98741C44"/>
    <w:lvl w:ilvl="0" w:tplc="0C0A000F">
      <w:start w:val="1"/>
      <w:numFmt w:val="decimal"/>
      <w:lvlText w:val="%1."/>
      <w:lvlJc w:val="left"/>
      <w:pPr>
        <w:tabs>
          <w:tab w:val="num" w:pos="720"/>
        </w:tabs>
        <w:ind w:left="720" w:hanging="360"/>
      </w:pPr>
    </w:lvl>
    <w:lvl w:ilvl="1" w:tplc="E79CD1E8">
      <w:start w:val="1"/>
      <w:numFmt w:val="bullet"/>
      <w:lvlText w:val=""/>
      <w:lvlJc w:val="left"/>
      <w:pPr>
        <w:tabs>
          <w:tab w:val="num" w:pos="680"/>
        </w:tabs>
        <w:ind w:left="680" w:hanging="34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75493BAB"/>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7AC105E4"/>
    <w:multiLevelType w:val="hybridMultilevel"/>
    <w:tmpl w:val="E9FE51DE"/>
    <w:lvl w:ilvl="0" w:tplc="2AC05092">
      <w:start w:val="1"/>
      <w:numFmt w:val="decimal"/>
      <w:pStyle w:val="Listaconnmeros"/>
      <w:lvlText w:val="%1.-"/>
      <w:lvlJc w:val="left"/>
      <w:pPr>
        <w:tabs>
          <w:tab w:val="num" w:pos="340"/>
        </w:tabs>
        <w:ind w:left="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7FED7324"/>
    <w:multiLevelType w:val="hybridMultilevel"/>
    <w:tmpl w:val="29BC88A4"/>
    <w:lvl w:ilvl="0" w:tplc="8EE08BD8">
      <w:start w:val="1"/>
      <w:numFmt w:val="decimal"/>
      <w:lvlText w:val="%1."/>
      <w:lvlJc w:val="left"/>
      <w:pPr>
        <w:tabs>
          <w:tab w:val="num" w:pos="680"/>
        </w:tabs>
        <w:ind w:left="680" w:hanging="34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0"/>
  </w:num>
  <w:num w:numId="2">
    <w:abstractNumId w:val="17"/>
  </w:num>
  <w:num w:numId="3">
    <w:abstractNumId w:val="19"/>
  </w:num>
  <w:num w:numId="4">
    <w:abstractNumId w:val="10"/>
  </w:num>
  <w:num w:numId="5">
    <w:abstractNumId w:val="13"/>
  </w:num>
  <w:num w:numId="6">
    <w:abstractNumId w:val="16"/>
  </w:num>
  <w:num w:numId="7">
    <w:abstractNumId w:val="3"/>
  </w:num>
  <w:num w:numId="8">
    <w:abstractNumId w:val="2"/>
  </w:num>
  <w:num w:numId="9">
    <w:abstractNumId w:val="1"/>
  </w:num>
  <w:num w:numId="10">
    <w:abstractNumId w:val="0"/>
  </w:num>
  <w:num w:numId="11">
    <w:abstractNumId w:val="8"/>
  </w:num>
  <w:num w:numId="12">
    <w:abstractNumId w:val="7"/>
  </w:num>
  <w:num w:numId="13">
    <w:abstractNumId w:val="6"/>
  </w:num>
  <w:num w:numId="14">
    <w:abstractNumId w:val="5"/>
  </w:num>
  <w:num w:numId="15">
    <w:abstractNumId w:val="4"/>
  </w:num>
  <w:num w:numId="16">
    <w:abstractNumId w:val="11"/>
  </w:num>
  <w:num w:numId="17">
    <w:abstractNumId w:val="18"/>
  </w:num>
  <w:num w:numId="18">
    <w:abstractNumId w:val="14"/>
  </w:num>
  <w:num w:numId="19">
    <w:abstractNumId w:val="15"/>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pos w:val="sectEnd"/>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6579"/>
    <w:rsid w:val="00044BF9"/>
    <w:rsid w:val="00093774"/>
    <w:rsid w:val="00095747"/>
    <w:rsid w:val="00096648"/>
    <w:rsid w:val="000B4B37"/>
    <w:rsid w:val="000C6AB5"/>
    <w:rsid w:val="000D433B"/>
    <w:rsid w:val="00104B44"/>
    <w:rsid w:val="00137F9D"/>
    <w:rsid w:val="001412A5"/>
    <w:rsid w:val="00194C40"/>
    <w:rsid w:val="001B39E5"/>
    <w:rsid w:val="001C1A00"/>
    <w:rsid w:val="001E541E"/>
    <w:rsid w:val="00227055"/>
    <w:rsid w:val="002634C8"/>
    <w:rsid w:val="00264301"/>
    <w:rsid w:val="00270C92"/>
    <w:rsid w:val="002766BE"/>
    <w:rsid w:val="002904C0"/>
    <w:rsid w:val="003204A3"/>
    <w:rsid w:val="00326852"/>
    <w:rsid w:val="003502D7"/>
    <w:rsid w:val="00351102"/>
    <w:rsid w:val="00352990"/>
    <w:rsid w:val="00354CCD"/>
    <w:rsid w:val="00356279"/>
    <w:rsid w:val="003A7AC2"/>
    <w:rsid w:val="003B3D4A"/>
    <w:rsid w:val="003C523A"/>
    <w:rsid w:val="003D1D54"/>
    <w:rsid w:val="003D42F0"/>
    <w:rsid w:val="003E1E8A"/>
    <w:rsid w:val="00400640"/>
    <w:rsid w:val="004D0947"/>
    <w:rsid w:val="00516070"/>
    <w:rsid w:val="00527DE0"/>
    <w:rsid w:val="005316CA"/>
    <w:rsid w:val="00573E19"/>
    <w:rsid w:val="0058018F"/>
    <w:rsid w:val="005B337F"/>
    <w:rsid w:val="005C2440"/>
    <w:rsid w:val="005C3894"/>
    <w:rsid w:val="005C4BA8"/>
    <w:rsid w:val="005E1BFD"/>
    <w:rsid w:val="005E4DA5"/>
    <w:rsid w:val="00687F4B"/>
    <w:rsid w:val="00691386"/>
    <w:rsid w:val="006A11A5"/>
    <w:rsid w:val="006A6A16"/>
    <w:rsid w:val="006C4F34"/>
    <w:rsid w:val="006D604D"/>
    <w:rsid w:val="006F5002"/>
    <w:rsid w:val="00701059"/>
    <w:rsid w:val="00756B08"/>
    <w:rsid w:val="007C1B34"/>
    <w:rsid w:val="007C7AFC"/>
    <w:rsid w:val="007D708C"/>
    <w:rsid w:val="00815391"/>
    <w:rsid w:val="00864BC8"/>
    <w:rsid w:val="008E0B79"/>
    <w:rsid w:val="008F443A"/>
    <w:rsid w:val="00936FF3"/>
    <w:rsid w:val="0095038F"/>
    <w:rsid w:val="0097307D"/>
    <w:rsid w:val="009900D0"/>
    <w:rsid w:val="009924F1"/>
    <w:rsid w:val="00997F2A"/>
    <w:rsid w:val="009A252B"/>
    <w:rsid w:val="009A6176"/>
    <w:rsid w:val="009C262C"/>
    <w:rsid w:val="009D79D4"/>
    <w:rsid w:val="009F2071"/>
    <w:rsid w:val="00A00B86"/>
    <w:rsid w:val="00A25911"/>
    <w:rsid w:val="00A90766"/>
    <w:rsid w:val="00AA37FA"/>
    <w:rsid w:val="00AD6A4D"/>
    <w:rsid w:val="00AE64AE"/>
    <w:rsid w:val="00B117FB"/>
    <w:rsid w:val="00B34A75"/>
    <w:rsid w:val="00B53AFE"/>
    <w:rsid w:val="00B5569B"/>
    <w:rsid w:val="00B87495"/>
    <w:rsid w:val="00BB4BE8"/>
    <w:rsid w:val="00C07EEF"/>
    <w:rsid w:val="00C20FB1"/>
    <w:rsid w:val="00C620C0"/>
    <w:rsid w:val="00CA3666"/>
    <w:rsid w:val="00CB6CC7"/>
    <w:rsid w:val="00D372C9"/>
    <w:rsid w:val="00D41797"/>
    <w:rsid w:val="00D53C2E"/>
    <w:rsid w:val="00D64A0B"/>
    <w:rsid w:val="00D64BF5"/>
    <w:rsid w:val="00D66028"/>
    <w:rsid w:val="00D72012"/>
    <w:rsid w:val="00D94A5C"/>
    <w:rsid w:val="00DA1EC2"/>
    <w:rsid w:val="00DB4A73"/>
    <w:rsid w:val="00DD7D49"/>
    <w:rsid w:val="00DF1CD2"/>
    <w:rsid w:val="00E81ACE"/>
    <w:rsid w:val="00E918C4"/>
    <w:rsid w:val="00E94AEB"/>
    <w:rsid w:val="00EB419F"/>
    <w:rsid w:val="00EC407E"/>
    <w:rsid w:val="00EF096A"/>
    <w:rsid w:val="00F10552"/>
    <w:rsid w:val="00F14053"/>
    <w:rsid w:val="00F419C8"/>
    <w:rsid w:val="00F444A3"/>
    <w:rsid w:val="00FB2745"/>
    <w:rsid w:val="00FE1652"/>
    <w:rsid w:val="00FF7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link w:val="TextoindependienteCar"/>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link w:val="PiedepginaCar"/>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 w:type="character" w:customStyle="1" w:styleId="TextoindependienteCar">
    <w:name w:val="Texto independiente Car"/>
    <w:link w:val="Textoindependiente"/>
    <w:rsid w:val="00B117FB"/>
    <w:rPr>
      <w:rFonts w:ascii="Tahoma" w:hAnsi="Tahoma"/>
      <w:szCs w:val="24"/>
    </w:rPr>
  </w:style>
  <w:style w:type="character" w:customStyle="1" w:styleId="PiedepginaCar">
    <w:name w:val="Pie de página Car"/>
    <w:link w:val="Piedepgina"/>
    <w:rsid w:val="00B117FB"/>
    <w:rPr>
      <w:rFonts w:ascii="Tahoma" w:hAnsi="Tahoma"/>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link w:val="TextoindependienteCar"/>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link w:val="PiedepginaCar"/>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 w:type="character" w:customStyle="1" w:styleId="TextoindependienteCar">
    <w:name w:val="Texto independiente Car"/>
    <w:link w:val="Textoindependiente"/>
    <w:rsid w:val="00B117FB"/>
    <w:rPr>
      <w:rFonts w:ascii="Tahoma" w:hAnsi="Tahoma"/>
      <w:szCs w:val="24"/>
    </w:rPr>
  </w:style>
  <w:style w:type="character" w:customStyle="1" w:styleId="PiedepginaCar">
    <w:name w:val="Pie de página Car"/>
    <w:link w:val="Piedepgina"/>
    <w:rsid w:val="00B117FB"/>
    <w:rPr>
      <w:rFonts w:ascii="Tahoma" w:hAnsi="Tahom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377642">
      <w:bodyDiv w:val="1"/>
      <w:marLeft w:val="0"/>
      <w:marRight w:val="0"/>
      <w:marTop w:val="0"/>
      <w:marBottom w:val="0"/>
      <w:divBdr>
        <w:top w:val="none" w:sz="0" w:space="0" w:color="auto"/>
        <w:left w:val="none" w:sz="0" w:space="0" w:color="auto"/>
        <w:bottom w:val="none" w:sz="0" w:space="0" w:color="auto"/>
        <w:right w:val="none" w:sz="0" w:space="0" w:color="auto"/>
      </w:divBdr>
    </w:div>
    <w:div w:id="20091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rge\Desktop\STSJ%20GAL%202010\template_list\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2</Pages>
  <Words>1031</Words>
  <Characters>5350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STSJ GAL 8899-2010</vt:lpstr>
    </vt:vector>
  </TitlesOfParts>
  <Manager>Jaime Abilleira Moldes</Manager>
  <Company>Academia Postal</Company>
  <LinksUpToDate>false</LinksUpToDate>
  <CharactersWithSpaces>6346</CharactersWithSpaces>
  <SharedDoc>false</SharedDoc>
  <HyperlinkBase>http://www.postal3.es</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STSJ GAL 8899-2010</dc:title>
  <dc:subject>Ejercicios</dc:subject>
  <dc:creator>Jaime Abilleira Moldes</dc:creator>
  <cp:keywords>Borde Fuente Imagen</cp:keywords>
  <dc:description>Forma</dc:description>
  <cp:lastModifiedBy>Jorge Soto Garcia</cp:lastModifiedBy>
  <cp:revision>6</cp:revision>
  <cp:lastPrinted>2016-07-14T08:12:00Z</cp:lastPrinted>
  <dcterms:created xsi:type="dcterms:W3CDTF">2016-07-26T01:20:00Z</dcterms:created>
  <dcterms:modified xsi:type="dcterms:W3CDTF">2016-07-26T01:38:00Z</dcterms:modified>
  <cp:category>Listas</cp:category>
</cp:coreProperties>
</file>