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0046AD"/>
        </w:rPr>
        <w:t>RLTech LLC</w:t>
      </w:r>
    </w:p>
    <w:p>
      <w:pPr>
        <w:jc w:val="center"/>
      </w:pPr>
      <w:r>
        <w:rPr>
          <w:b/>
          <w:sz w:val="28"/>
        </w:rPr>
        <w:t>Capability Statement</w:t>
      </w:r>
    </w:p>
    <w:p/>
    <w:p>
      <w:pPr>
        <w:pStyle w:val="Heading1"/>
      </w:pPr>
      <w:r>
        <w:rPr>
          <w:color w:val="0046AD"/>
        </w:rPr>
        <w:t>Company Overview</w:t>
      </w:r>
    </w:p>
    <w:p>
      <w:r>
        <w:t>RLTech LLC is a minority-owned small business headquartered in Aurora, Colorado, specializing in Identity and Access Management (IAM) and cybersecurity solutions built on the Microsoft security stack. We help federal agencies, government contractors, and commercial clients harden their identity perimeters, eliminate unauthorized access, and achieve Zero Trust compliance — quickly, cost-effectively, and with minimal disruption to operations.</w:t>
      </w:r>
    </w:p>
    <w:p>
      <w:pPr>
        <w:pStyle w:val="Heading1"/>
      </w:pPr>
      <w:r>
        <w:rPr>
          <w:color w:val="0046AD"/>
        </w:rPr>
        <w:t>Core Capabilities</w:t>
      </w:r>
    </w:p>
    <w:p>
      <w:pPr>
        <w:pStyle w:val="ListBullet"/>
      </w:pPr>
      <w:r>
        <w:rPr>
          <w:b/>
        </w:rPr>
        <w:t xml:space="preserve">Identity and Access Management (IAM) — </w:t>
      </w:r>
      <w:r>
        <w:t>End-to-end design, implementation, and hardening of enterprise identity environments</w:t>
      </w:r>
    </w:p>
    <w:p>
      <w:pPr>
        <w:pStyle w:val="ListBullet"/>
      </w:pPr>
      <w:r>
        <w:rPr>
          <w:b/>
        </w:rPr>
        <w:t xml:space="preserve">Microsoft Entra ID (Azure AD) — </w:t>
      </w:r>
      <w:r>
        <w:t>Tenant configuration, user lifecycle management, and directory hardening</w:t>
      </w:r>
    </w:p>
    <w:p>
      <w:pPr>
        <w:pStyle w:val="ListBullet"/>
      </w:pPr>
      <w:r>
        <w:rPr>
          <w:b/>
        </w:rPr>
        <w:t xml:space="preserve">Multi-Factor Authentication (MFA) — </w:t>
      </w:r>
      <w:r>
        <w:t>Deployment, enforcement, and user onboarding across Microsoft 365 and hybrid environments</w:t>
      </w:r>
    </w:p>
    <w:p>
      <w:pPr>
        <w:pStyle w:val="ListBullet"/>
      </w:pPr>
      <w:r>
        <w:rPr>
          <w:b/>
        </w:rPr>
        <w:t xml:space="preserve">Conditional Access Policies — </w:t>
      </w:r>
      <w:r>
        <w:t>Risk-based access controls, device compliance enforcement, and location-based restrictions</w:t>
      </w:r>
    </w:p>
    <w:p>
      <w:pPr>
        <w:pStyle w:val="ListBullet"/>
      </w:pPr>
      <w:r>
        <w:rPr>
          <w:b/>
        </w:rPr>
        <w:t xml:space="preserve">Privileged Identity Management (PIM) — </w:t>
      </w:r>
      <w:r>
        <w:t>Just-in-time privileged access, role activation workflows, and access reviews</w:t>
      </w:r>
    </w:p>
    <w:p>
      <w:pPr>
        <w:pStyle w:val="ListBullet"/>
      </w:pPr>
      <w:r>
        <w:rPr>
          <w:b/>
        </w:rPr>
        <w:t xml:space="preserve">Zero Trust Architecture — </w:t>
      </w:r>
      <w:r>
        <w:t>Identity-first security frameworks aligned to NIST SP 800-207 and Microsoft Zero Trust principles</w:t>
      </w:r>
    </w:p>
    <w:p>
      <w:pPr>
        <w:pStyle w:val="ListBullet"/>
      </w:pPr>
      <w:r>
        <w:rPr>
          <w:b/>
        </w:rPr>
        <w:t xml:space="preserve">Security Baseline Assessments — </w:t>
      </w:r>
      <w:r>
        <w:t>Gap analysis of current identity posture with prioritized remediation roadmaps</w:t>
      </w:r>
    </w:p>
    <w:p>
      <w:pPr>
        <w:pStyle w:val="ListBullet"/>
      </w:pPr>
      <w:r>
        <w:rPr>
          <w:b/>
        </w:rPr>
        <w:t xml:space="preserve">Identity Governance &amp; Least-Privilege Design — </w:t>
      </w:r>
      <w:r>
        <w:t>Role rationalization, entitlement reviews, and access certification programs</w:t>
      </w:r>
    </w:p>
    <w:p>
      <w:pPr>
        <w:pStyle w:val="ListBullet"/>
      </w:pPr>
      <w:r>
        <w:rPr>
          <w:b/>
        </w:rPr>
        <w:t xml:space="preserve">Microsoft 365 Security Hardening — </w:t>
      </w:r>
      <w:r>
        <w:t>Secure Score improvement, tenant configuration reviews, and policy remediation</w:t>
      </w:r>
    </w:p>
    <w:p>
      <w:pPr>
        <w:pStyle w:val="Heading1"/>
      </w:pPr>
      <w:r>
        <w:rPr>
          <w:color w:val="0046AD"/>
        </w:rPr>
        <w:t>Differentiators</w:t>
      </w:r>
    </w:p>
    <w:p>
      <w:pPr>
        <w:pStyle w:val="ListBullet"/>
      </w:pPr>
      <w:r>
        <w:rPr>
          <w:b/>
        </w:rPr>
        <w:t xml:space="preserve">Specialized focus — </w:t>
      </w:r>
      <w:r>
        <w:t>IAM and identity security only. Not a generalist IT shop. Deep, focused expertise on every engagement.</w:t>
      </w:r>
    </w:p>
    <w:p>
      <w:pPr>
        <w:pStyle w:val="ListBullet"/>
      </w:pPr>
      <w:r>
        <w:rPr>
          <w:b/>
        </w:rPr>
        <w:t xml:space="preserve">Microsoft-aligned delivery — </w:t>
      </w:r>
      <w:r>
        <w:t>All solutions built on Microsoft best-practice security frameworks and Secure Score benchmarks.</w:t>
      </w:r>
    </w:p>
    <w:p>
      <w:pPr>
        <w:pStyle w:val="ListBullet"/>
      </w:pPr>
      <w:r>
        <w:rPr>
          <w:b/>
        </w:rPr>
        <w:t xml:space="preserve">Government-ready approach — </w:t>
      </w:r>
      <w:r>
        <w:t>Compliance-first, documentation-driven methodology designed to meet federal audit and authorization requirements.</w:t>
      </w:r>
    </w:p>
    <w:p>
      <w:pPr>
        <w:pStyle w:val="ListBullet"/>
      </w:pPr>
      <w:r>
        <w:rPr>
          <w:b/>
        </w:rPr>
        <w:t xml:space="preserve">Lean and low-risk — </w:t>
      </w:r>
      <w:r>
        <w:t>Ideal subcontractor for task-based or surge engagements with fast ramp-up and minimal overhead.</w:t>
      </w:r>
    </w:p>
    <w:p>
      <w:pPr>
        <w:pStyle w:val="ListBullet"/>
      </w:pPr>
      <w:r>
        <w:rPr>
          <w:b/>
        </w:rPr>
        <w:t xml:space="preserve">Minority-owned small business — </w:t>
      </w:r>
      <w:r>
        <w:t>Qualifies as a Minority Business Enterprise (MBE), supporting prime contractor teaming and diversity spend goals.</w:t>
      </w:r>
    </w:p>
    <w:p>
      <w:pPr>
        <w:pStyle w:val="Heading1"/>
      </w:pPr>
      <w:r>
        <w:rPr>
          <w:color w:val="0046AD"/>
        </w:rPr>
        <w:t>Proprietary Methodology — RLTech IAM Readiness Framework™</w:t>
      </w:r>
    </w:p>
    <w:p>
      <w:pPr>
        <w:pStyle w:val="ListBullet"/>
      </w:pPr>
      <w:r>
        <w:rPr>
          <w:b/>
        </w:rPr>
        <w:t xml:space="preserve">1. Assess — </w:t>
      </w:r>
      <w:r>
        <w:t>Evaluate current identity maturity, configuration gaps, and risk exposure</w:t>
      </w:r>
    </w:p>
    <w:p>
      <w:pPr>
        <w:pStyle w:val="ListBullet"/>
      </w:pPr>
      <w:r>
        <w:rPr>
          <w:b/>
        </w:rPr>
        <w:t xml:space="preserve">2. Secure — </w:t>
      </w:r>
      <w:r>
        <w:t>Harden the identity perimeter (MFA, Conditional Access, PIM)</w:t>
      </w:r>
    </w:p>
    <w:p>
      <w:pPr>
        <w:pStyle w:val="ListBullet"/>
      </w:pPr>
      <w:r>
        <w:rPr>
          <w:b/>
        </w:rPr>
        <w:t xml:space="preserve">3. Govern — </w:t>
      </w:r>
      <w:r>
        <w:t>Apply least-privilege design and role-based access governance</w:t>
      </w:r>
    </w:p>
    <w:p>
      <w:pPr>
        <w:pStyle w:val="ListBullet"/>
      </w:pPr>
      <w:r>
        <w:rPr>
          <w:b/>
        </w:rPr>
        <w:t xml:space="preserve">4. Validate — </w:t>
      </w:r>
      <w:r>
        <w:t>Verify controls against Zero Trust principles and compliance benchmarks</w:t>
      </w:r>
    </w:p>
    <w:p>
      <w:pPr>
        <w:pStyle w:val="ListBullet"/>
      </w:pPr>
      <w:r>
        <w:rPr>
          <w:b/>
        </w:rPr>
        <w:t xml:space="preserve">5. Sustain — </w:t>
      </w:r>
      <w:r>
        <w:t>Document policies, train stakeholders, and establish ongoing access reviews</w:t>
      </w:r>
    </w:p>
    <w:p>
      <w:pPr>
        <w:pStyle w:val="Heading1"/>
      </w:pPr>
      <w:r>
        <w:rPr>
          <w:color w:val="0046AD"/>
        </w:rPr>
        <w:t>Certifications &amp; Qualifications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Certification</w:t>
            </w:r>
          </w:p>
        </w:tc>
        <w:tc>
          <w:tcPr>
            <w:tcW w:type="dxa" w:w="2880"/>
          </w:tcPr>
          <w:p>
            <w:r>
              <w:rPr>
                <w:b/>
              </w:rPr>
              <w:t>Holder</w:t>
            </w:r>
          </w:p>
        </w:tc>
        <w:tc>
          <w:tcPr>
            <w:tcW w:type="dxa" w:w="2880"/>
          </w:tcPr>
          <w:p>
            <w:r>
              <w:rPr>
                <w:b/>
              </w:rPr>
              <w:t>Status</w:t>
            </w:r>
          </w:p>
        </w:tc>
      </w:tr>
      <w:tr>
        <w:tc>
          <w:tcPr>
            <w:tcW w:type="dxa" w:w="2880"/>
          </w:tcPr>
          <w:p>
            <w:r>
              <w:t>CompTIA Network+</w:t>
            </w:r>
          </w:p>
        </w:tc>
        <w:tc>
          <w:tcPr>
            <w:tcW w:type="dxa" w:w="2880"/>
          </w:tcPr>
          <w:p>
            <w:r>
              <w:t>Dominick Skelton</w:t>
            </w:r>
          </w:p>
        </w:tc>
        <w:tc>
          <w:tcPr>
            <w:tcW w:type="dxa" w:w="2880"/>
          </w:tcPr>
          <w:p>
            <w:r>
              <w:t>Active</w:t>
            </w:r>
          </w:p>
        </w:tc>
      </w:tr>
      <w:tr>
        <w:tc>
          <w:tcPr>
            <w:tcW w:type="dxa" w:w="2880"/>
          </w:tcPr>
          <w:p>
            <w:r>
              <w:t>CompTIA Security+</w:t>
            </w:r>
          </w:p>
        </w:tc>
        <w:tc>
          <w:tcPr>
            <w:tcW w:type="dxa" w:w="2880"/>
          </w:tcPr>
          <w:p>
            <w:r>
              <w:t>Dominick Skelton</w:t>
            </w:r>
          </w:p>
        </w:tc>
        <w:tc>
          <w:tcPr>
            <w:tcW w:type="dxa" w:w="2880"/>
          </w:tcPr>
          <w:p>
            <w:r>
              <w:t>Active</w:t>
            </w:r>
          </w:p>
        </w:tc>
      </w:tr>
      <w:tr>
        <w:tc>
          <w:tcPr>
            <w:tcW w:type="dxa" w:w="2880"/>
          </w:tcPr>
          <w:p>
            <w:r>
              <w:t>Microsoft 365 Fundamentals (MS-900)</w:t>
            </w:r>
          </w:p>
        </w:tc>
        <w:tc>
          <w:tcPr>
            <w:tcW w:type="dxa" w:w="2880"/>
          </w:tcPr>
          <w:p>
            <w:r>
              <w:t>Dominick Skelton</w:t>
            </w:r>
          </w:p>
        </w:tc>
        <w:tc>
          <w:tcPr>
            <w:tcW w:type="dxa" w:w="2880"/>
          </w:tcPr>
          <w:p>
            <w:r>
              <w:t>Active</w:t>
            </w:r>
          </w:p>
        </w:tc>
      </w:tr>
      <w:tr>
        <w:tc>
          <w:tcPr>
            <w:tcW w:type="dxa" w:w="2880"/>
          </w:tcPr>
          <w:p>
            <w:r>
              <w:t>Microsoft SC-300 (Identity &amp; Access Administrator)</w:t>
            </w:r>
          </w:p>
        </w:tc>
        <w:tc>
          <w:tcPr>
            <w:tcW w:type="dxa" w:w="2880"/>
          </w:tcPr>
          <w:p>
            <w:r>
              <w:t>Dominick Skelton</w:t>
            </w:r>
          </w:p>
        </w:tc>
        <w:tc>
          <w:tcPr>
            <w:tcW w:type="dxa" w:w="2880"/>
          </w:tcPr>
          <w:p>
            <w:r>
              <w:t>In Progress</w:t>
            </w:r>
          </w:p>
        </w:tc>
      </w:tr>
    </w:tbl>
    <w:p/>
    <w:p>
      <w:pPr>
        <w:pStyle w:val="Heading1"/>
      </w:pPr>
      <w:r>
        <w:rPr>
          <w:color w:val="0046AD"/>
        </w:rPr>
        <w:t>Past Performance</w:t>
      </w:r>
    </w:p>
    <w:p>
      <w:r>
        <w:rPr>
          <w:b/>
        </w:rPr>
        <w:t>IT Support &amp; Systems Administration</w:t>
      </w:r>
    </w:p>
    <w:p>
      <w:r>
        <w:t>Client: Private Sector — Joseph Oltmann  |  Reference: 303-667-5105  |  Duration: 1 Year</w:t>
      </w:r>
    </w:p>
    <w:p>
      <w:pPr>
        <w:pStyle w:val="ListBullet"/>
      </w:pPr>
      <w:r>
        <w:t>Provided hands-on IT support, systems administration, and infrastructure maintenance</w:t>
      </w:r>
    </w:p>
    <w:p>
      <w:pPr>
        <w:pStyle w:val="ListBullet"/>
      </w:pPr>
      <w:r>
        <w:t>Developed foundation in enterprise networking, endpoint management, and security operations</w:t>
      </w:r>
    </w:p>
    <w:p>
      <w:pPr>
        <w:pStyle w:val="Heading1"/>
      </w:pPr>
      <w:r>
        <w:rPr>
          <w:color w:val="0046AD"/>
        </w:rPr>
        <w:t>Company Data</w:t>
      </w:r>
    </w:p>
    <w:tbl>
      <w:tblPr>
        <w:tblStyle w:val="TableGrid"/>
        <w:tblW w:type="auto" w:w="0"/>
        <w:tblLook w:firstColumn="1" w:firstRow="1" w:lastColumn="0" w:lastRow="0" w:noHBand="0" w:noVBand="1" w:val="04A0"/>
      </w:tblPr>
      <w:tblGrid>
        <w:gridCol w:w="4320"/>
        <w:gridCol w:w="4320"/>
      </w:tblGrid>
      <w:tr>
        <w:tc>
          <w:tcPr>
            <w:tcW w:type="dxa" w:w="4320"/>
          </w:tcPr>
          <w:p>
            <w:r>
              <w:rPr>
                <w:b/>
              </w:rPr>
              <w:t>Legal Name</w:t>
            </w:r>
          </w:p>
        </w:tc>
        <w:tc>
          <w:tcPr>
            <w:tcW w:type="dxa" w:w="4320"/>
          </w:tcPr>
          <w:p>
            <w:r>
              <w:t>RLTech LLC</w:t>
            </w:r>
          </w:p>
        </w:tc>
      </w:tr>
      <w:tr>
        <w:tc>
          <w:tcPr>
            <w:tcW w:type="dxa" w:w="4320"/>
          </w:tcPr>
          <w:p>
            <w:r>
              <w:rPr>
                <w:b/>
              </w:rPr>
              <w:t>UEI</w:t>
            </w:r>
          </w:p>
        </w:tc>
        <w:tc>
          <w:tcPr>
            <w:tcW w:type="dxa" w:w="4320"/>
          </w:tcPr>
          <w:p>
            <w:r>
              <w:t>N63KBP74BLX8</w:t>
            </w:r>
          </w:p>
        </w:tc>
      </w:tr>
      <w:tr>
        <w:tc>
          <w:tcPr>
            <w:tcW w:type="dxa" w:w="4320"/>
          </w:tcPr>
          <w:p>
            <w:r>
              <w:rPr>
                <w:b/>
              </w:rPr>
              <w:t>CAGE Code</w:t>
            </w:r>
          </w:p>
        </w:tc>
        <w:tc>
          <w:tcPr>
            <w:tcW w:type="dxa" w:w="4320"/>
          </w:tcPr>
          <w:p>
            <w:r>
              <w:t>1KN44</w:t>
            </w:r>
          </w:p>
        </w:tc>
      </w:tr>
      <w:tr>
        <w:tc>
          <w:tcPr>
            <w:tcW w:type="dxa" w:w="4320"/>
          </w:tcPr>
          <w:p>
            <w:r>
              <w:rPr>
                <w:b/>
              </w:rPr>
              <w:t>SAM.gov Status</w:t>
            </w:r>
          </w:p>
        </w:tc>
        <w:tc>
          <w:tcPr>
            <w:tcW w:type="dxa" w:w="4320"/>
          </w:tcPr>
          <w:p>
            <w:r>
              <w:t>Active — All Awards (Expires Apr 05, 2027)</w:t>
            </w:r>
          </w:p>
        </w:tc>
      </w:tr>
      <w:tr>
        <w:tc>
          <w:tcPr>
            <w:tcW w:type="dxa" w:w="4320"/>
          </w:tcPr>
          <w:p>
            <w:r>
              <w:rPr>
                <w:b/>
              </w:rPr>
              <w:t>Business Type</w:t>
            </w:r>
          </w:p>
        </w:tc>
        <w:tc>
          <w:tcPr>
            <w:tcW w:type="dxa" w:w="4320"/>
          </w:tcPr>
          <w:p>
            <w:r>
              <w:t>Minority-Owned Small Business</w:t>
            </w:r>
          </w:p>
        </w:tc>
      </w:tr>
      <w:tr>
        <w:tc>
          <w:tcPr>
            <w:tcW w:type="dxa" w:w="4320"/>
          </w:tcPr>
          <w:p>
            <w:r>
              <w:rPr>
                <w:b/>
              </w:rPr>
              <w:t>Physical Address</w:t>
            </w:r>
          </w:p>
        </w:tc>
        <w:tc>
          <w:tcPr>
            <w:tcW w:type="dxa" w:w="4320"/>
          </w:tcPr>
          <w:p>
            <w:r>
              <w:t>24678 E Wyoming Pl, Aurora, CO 80018-6062</w:t>
            </w:r>
          </w:p>
        </w:tc>
      </w:tr>
      <w:tr>
        <w:tc>
          <w:tcPr>
            <w:tcW w:type="dxa" w:w="4320"/>
          </w:tcPr>
          <w:p>
            <w:r>
              <w:rPr>
                <w:b/>
              </w:rPr>
              <w:t>NAICS Codes</w:t>
            </w:r>
          </w:p>
        </w:tc>
        <w:tc>
          <w:tcPr>
            <w:tcW w:type="dxa" w:w="4320"/>
          </w:tcPr>
          <w:p>
            <w:r>
              <w:t>541512 · 541519 · 541511</w:t>
            </w:r>
          </w:p>
        </w:tc>
      </w:tr>
    </w:tbl>
    <w:p/>
    <w:p>
      <w:pPr>
        <w:pStyle w:val="Heading1"/>
      </w:pPr>
      <w:r>
        <w:rPr>
          <w:color w:val="0046AD"/>
        </w:rPr>
        <w:t>NAICS Codes</w:t>
      </w:r>
    </w:p>
    <w:p>
      <w:pPr>
        <w:pStyle w:val="ListBullet"/>
      </w:pPr>
      <w:r>
        <w:rPr>
          <w:b/>
        </w:rPr>
        <w:t>541512 —</w:t>
      </w:r>
      <w:r>
        <w:t xml:space="preserve"> Computer Systems Design Services (Primary)</w:t>
      </w:r>
    </w:p>
    <w:p>
      <w:pPr>
        <w:pStyle w:val="ListBullet"/>
      </w:pPr>
      <w:r>
        <w:rPr>
          <w:b/>
        </w:rPr>
        <w:t>541519 —</w:t>
      </w:r>
      <w:r>
        <w:t xml:space="preserve"> Other Computer Related Services</w:t>
      </w:r>
    </w:p>
    <w:p>
      <w:pPr>
        <w:pStyle w:val="ListBullet"/>
      </w:pPr>
      <w:r>
        <w:rPr>
          <w:b/>
        </w:rPr>
        <w:t>541511 —</w:t>
      </w:r>
      <w:r>
        <w:t xml:space="preserve"> Custom Computer Programming Services</w:t>
      </w:r>
    </w:p>
    <w:p>
      <w:pPr>
        <w:pStyle w:val="Heading1"/>
      </w:pPr>
      <w:r>
        <w:rPr>
          <w:color w:val="0046AD"/>
        </w:rPr>
        <w:t>Point of Contact</w:t>
      </w:r>
    </w:p>
    <w:p>
      <w:r>
        <w:rPr>
          <w:b/>
        </w:rPr>
        <w:t>Dominick Skelton</w:t>
        <w:br/>
      </w:r>
      <w:r>
        <w:t>Founder &amp; CEO, RLTech LLC</w:t>
        <w:br/>
      </w:r>
      <w:r>
        <w:t>📧 Dominick@RLTech-IAM.com</w:t>
        <w:br/>
      </w:r>
      <w:r>
        <w:t>📞 720-500-7461</w:t>
        <w:br/>
      </w:r>
      <w:r>
        <w:t>🌐 rltech-iam.com</w:t>
      </w:r>
    </w:p>
    <w:p/>
    <w:p>
      <w:pPr>
        <w:jc w:val="center"/>
      </w:pPr>
      <w:r>
        <w:rPr>
          <w:i/>
        </w:rPr>
        <w:t>RLTech LLC — Protecting identity. Enabling access. Securing the mission.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