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UNIVERSAL DATA CONVERTER</w:t>
      </w:r>
    </w:p>
    <w:p>
      <w:pPr>
        <w:jc w:val="center"/>
      </w:pPr>
      <w:r>
        <w:rPr>
          <w:rFonts w:ascii="Aptos Display" w:hAnsi="Aptos Display"/>
          <w:b/>
          <w:sz w:val="30"/>
        </w:rPr>
        <w:t>Technical Specification / Техническое задание</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88"/>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752"/>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752"/>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2088"/>
            <w:vAlign w:val="top"/>
            <w:tcMar>
              <w:top w:w="70" w:type="dxa"/>
              <w:start w:w="80" w:type="dxa"/>
              <w:bottom w:w="70" w:type="dxa"/>
              <w:end w:w="80" w:type="dxa"/>
            </w:tcMar>
          </w:tcPr>
          <w:p>
            <w:pPr>
              <w:pStyle w:val="TableSmall"/>
              <w:spacing w:after="0"/>
            </w:pPr>
            <w:r/>
            <w:r>
              <w:rPr>
                <w:rFonts w:ascii="Aptos" w:hAnsi="Aptos"/>
                <w:b/>
                <w:sz w:val="17"/>
              </w:rPr>
              <w:t>Document</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Backend MVP Technical Specification</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Техническое задание Backend MVP</w:t>
            </w:r>
          </w:p>
        </w:tc>
      </w:tr>
      <w:tr>
        <w:tc>
          <w:tcPr>
            <w:tcW w:type="dxa" w:w="2088"/>
            <w:vAlign w:val="top"/>
            <w:tcMar>
              <w:top w:w="70" w:type="dxa"/>
              <w:start w:w="80" w:type="dxa"/>
              <w:bottom w:w="70" w:type="dxa"/>
              <w:end w:w="80" w:type="dxa"/>
            </w:tcMar>
          </w:tcPr>
          <w:p>
            <w:pPr>
              <w:pStyle w:val="TableSmall"/>
              <w:spacing w:after="0"/>
            </w:pPr>
            <w:r/>
            <w:r>
              <w:rPr>
                <w:rFonts w:ascii="Aptos" w:hAnsi="Aptos"/>
                <w:b/>
                <w:sz w:val="17"/>
              </w:rPr>
              <w:t>Version</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0.1 – Initial architecture</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0.1 – Первичная архитектура</w:t>
            </w:r>
          </w:p>
        </w:tc>
      </w:tr>
      <w:tr>
        <w:tc>
          <w:tcPr>
            <w:tcW w:type="dxa" w:w="2088"/>
            <w:vAlign w:val="top"/>
            <w:tcMar>
              <w:top w:w="70" w:type="dxa"/>
              <w:start w:w="80" w:type="dxa"/>
              <w:bottom w:w="70" w:type="dxa"/>
              <w:end w:w="80" w:type="dxa"/>
            </w:tcMar>
          </w:tcPr>
          <w:p>
            <w:pPr>
              <w:pStyle w:val="TableSmall"/>
              <w:spacing w:after="0"/>
            </w:pPr>
            <w:r/>
            <w:r>
              <w:rPr>
                <w:rFonts w:ascii="Aptos" w:hAnsi="Aptos"/>
                <w:b/>
                <w:sz w:val="17"/>
              </w:rPr>
              <w:t>Target stack</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Python + Microsoft SQL Server 2025 Developer</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Python + Microsoft SQL Server 2025 Developer</w:t>
            </w:r>
          </w:p>
        </w:tc>
      </w:tr>
      <w:tr>
        <w:tc>
          <w:tcPr>
            <w:tcW w:type="dxa" w:w="2088"/>
            <w:vAlign w:val="top"/>
            <w:tcMar>
              <w:top w:w="70" w:type="dxa"/>
              <w:start w:w="80" w:type="dxa"/>
              <w:bottom w:w="70" w:type="dxa"/>
              <w:end w:w="80" w:type="dxa"/>
            </w:tcMar>
          </w:tcPr>
          <w:p>
            <w:pPr>
              <w:pStyle w:val="TableSmall"/>
              <w:spacing w:after="0"/>
            </w:pPr>
            <w:r/>
            <w:r>
              <w:rPr>
                <w:rFonts w:ascii="Aptos" w:hAnsi="Aptos"/>
                <w:b/>
                <w:sz w:val="17"/>
              </w:rPr>
              <w:t>Project type</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Portfolio / prototype / development and testing</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Портфолио / прототип / разработка и тестирование</w:t>
            </w:r>
          </w:p>
        </w:tc>
      </w:tr>
      <w:tr>
        <w:tc>
          <w:tcPr>
            <w:tcW w:type="dxa" w:w="2088"/>
            <w:vAlign w:val="top"/>
            <w:tcMar>
              <w:top w:w="70" w:type="dxa"/>
              <w:start w:w="80" w:type="dxa"/>
              <w:bottom w:w="70" w:type="dxa"/>
              <w:end w:w="80" w:type="dxa"/>
            </w:tcMar>
          </w:tcPr>
          <w:p>
            <w:pPr>
              <w:pStyle w:val="TableSmall"/>
              <w:spacing w:after="0"/>
            </w:pPr>
            <w:r/>
            <w:r>
              <w:rPr>
                <w:rFonts w:ascii="Aptos" w:hAnsi="Aptos"/>
                <w:b/>
                <w:sz w:val="17"/>
              </w:rPr>
              <w:t>Primary purpose</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Universal import, normalization, validation, mapping and storage of heterogeneous data files in SQL</w:t>
            </w:r>
          </w:p>
        </w:tc>
        <w:tc>
          <w:tcPr>
            <w:tcW w:type="dxa" w:w="4752"/>
            <w:vAlign w:val="top"/>
            <w:tcMar>
              <w:top w:w="70" w:type="dxa"/>
              <w:start w:w="80" w:type="dxa"/>
              <w:bottom w:w="70" w:type="dxa"/>
              <w:end w:w="80" w:type="dxa"/>
            </w:tcMar>
          </w:tcPr>
          <w:p>
            <w:pPr>
              <w:pStyle w:val="TableSmall"/>
              <w:spacing w:after="0"/>
            </w:pPr>
            <w:r/>
            <w:r>
              <w:rPr>
                <w:rFonts w:ascii="Aptos" w:hAnsi="Aptos"/>
                <w:b w:val="0"/>
                <w:sz w:val="17"/>
              </w:rPr>
              <w:t>Универсальный импорт, нормализация, валидация, маппинг и сохранение разнородных файлов данных в SQL</w:t>
            </w:r>
          </w:p>
        </w:tc>
      </w:tr>
    </w:tbl>
    <w:p>
      <w:pPr>
        <w:spacing w:after="20"/>
      </w:pPr>
    </w:p>
    <w:p>
      <w:pPr>
        <w:jc w:val="center"/>
      </w:pPr>
      <w:r>
        <w:rPr>
          <w:i/>
          <w:sz w:val="17"/>
        </w:rPr>
        <w:t>MVP scope: backend only. No production clinical data. Use synthetic/anonymized test data during development.</w:t>
      </w:r>
    </w:p>
    <w:p>
      <w:pPr>
        <w:pStyle w:val="Heading1"/>
      </w:pPr>
      <w:r>
        <w:t>1. Project Goal / Цель проекта</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1.1 Goal</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Build a reusable backend service that can accept data files in different formats, parse them through format-specific adapters, transform the content into a common internal representation, validate and map fields, and persist the normalized data in Microsoft SQL Server.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Создать переиспользуемый backend-сервис, который принимает файлы данных различных форматов, разбирает их через адаптеры форматов, преобразует содержимое в единое внутреннее представление, выполняет валидацию и сопоставление полей и сохраняет нормализованные данные в Microsoft SQL Server.</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1.2 Business idea</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Different external partners may keep their existing formats. The converter isolates those differences from the central SQL model by using configurable mappings and transformations.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Разные внешние партнёры могут сохранять свои существующие форматы. Конвертор изолирует эти различия от центральной SQL-модели с помощью настраиваемого маппинга и преобразований.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1.3 MVP result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working command-line/backend prototype that imports at least CSV, TXT, JSON, XML and XLSX files into SQL Server with validation, logging, error handling and auditable import status.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Рабочий консольный/backend-прототип, который импортирует как минимум CSV, TXT, JSON, XML и XLSX в SQL Server с валидацией, логированием, обработкой ошибок и отслеживаемым статусом импорта.</w:t>
            </w:r>
          </w:p>
        </w:tc>
      </w:tr>
    </w:tbl>
    <w:p>
      <w:pPr>
        <w:spacing w:after="20"/>
      </w:pPr>
    </w:p>
    <w:p>
      <w:pPr>
        <w:pStyle w:val="Heading1"/>
      </w:pPr>
      <w:r>
        <w:t>2. Scope / Объём работ</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2.1 In scope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File intake; format detection; parsing; common internal record model; partner/source configuration; field mapping; data-type conversion; validation; database persistence; transaction handling; duplicate protection; logging; import history; error reporting; basic export foundation.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Приём файлов; определение формата; разбор; единая внутренняя модель записи; конфигурация источника/партнёра; маппинг полей; преобразование типов; валидация; запись в БД; транзакции; защита от дублей; логирование; история импортов; отчёты об ошибках; базовая основа для экспорта.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2.2 Out of scope for MVP</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Graphical UI, production deployment, direct access to clinical production databases, HL7/FHIR integration, real-time streaming, distributed processing, identity management, partner-side software changes.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Графический интерфейс, production-развёртывание, прямой доступ к клиническим production-БД, интеграция HL7/FHIR, потоковая обработка в реальном времени, распределённая обработка, управление идентификацией, изменения программного обеспечения на стороне партнёров.</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2.3 Future scope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REST API, web administration UI, scheduled imports, SQL-to-SQL exchange, SFTP/API connectors, export adapters, schema versioning, FHIR/HL7 modules, containerized deployment and CI/CD.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REST API, web-интерфейс администрирования, плановые импорты, SQL-to-SQL обмен, SFTP/API-коннекторы, экспортные адаптеры, версионирование схем, модули FHIR/HL7, контейнеризация и CI/CD.</w:t>
            </w:r>
          </w:p>
        </w:tc>
      </w:tr>
    </w:tbl>
    <w:p>
      <w:pPr>
        <w:spacing w:after="20"/>
      </w:pPr>
    </w:p>
    <w:p>
      <w:pPr>
        <w:pStyle w:val="Heading1"/>
      </w:pPr>
      <w:r>
        <w:t>3. Proposed Architecture / Предлагаемая архитектура</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3.1 High-level flow</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Input file → Intake service → Format detector → Reader adapter → Common internal model → Mapping/Transformation → Validation → SQL repository → Import result/log.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Входной файл → Intake service → Определение формата → Reader-адаптер → Общая внутренняя модель → Маппинг/преобразование → Валидация → SQL repository → Результат/лог импорта.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3.2 Adapter principle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Each file-format reader is isolated behind a common interface. Adding a new format must not require changes to business validation or database logic.</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Каждый reader формата изолирован за общим интерфейсом. Добавление нового формата не должно требовать изменения бизнес-валидации или логики БД.</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3.3 Internal model</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All readers return a standard record/batch object containing source metadata, normalized fields, raw values where required, and validation state.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Все readers возвращают стандартный объект записи/пакета, содержащий метаданные источника, нормализованные поля, при необходимости исходные значения и состояние валидации.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3.4 Layering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Recommended layers: readers → mapping → domain/model → validation → services → repositories/database → logging/configuration.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Рекомендуемые слои: readers → mapping → domain/model → validation → services → repositories/database → logging/configuration.</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3.5 Database isolation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For a healthcare/research scenario, use a dedicated Research/Exchange database or schema. The converter must not require direct writes to the clinical production database.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Для сценария клиника/исследования использовать отдельную Research/Exchange БД или схему. Конвертор не должен требовать прямой записи в клиническую production-БД.</w:t>
            </w:r>
          </w:p>
        </w:tc>
      </w:tr>
    </w:tbl>
    <w:p>
      <w:pPr>
        <w:spacing w:after="20"/>
      </w:pPr>
    </w:p>
    <w:p>
      <w:pPr>
        <w:pStyle w:val="Heading1"/>
      </w:pPr>
      <w:r>
        <w:t>4. Supported Input Formats / Поддерживаемые входные форматы</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4.1 CSV</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Delimited text with configurable delimiter, encoding, quote character, header presence and decimal/date conventions.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Текст с разделителями и настройкой delimiter, кодировки, кавычек, наличия заголовка, форматов чисел и дат.</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4.2 TXT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Configurable delimited or fixed-width text. Parsing rules are defined per source profile.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Настраиваемый текст с разделителями либо фиксированной шириной полей. Правила разбора задаются профилем источника.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4.3 JSON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JSON object or array; configurable path to the record collection; nested value extraction supported through mapping rules.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JSON-объект или массив; настраиваемый путь к коллекции записей; извлечение вложенных значений через правила маппинга.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4.4 XML</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XML documents with configurable record XPath/tag mapping and namespace support.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XML-документы с настраиваемым XPath/тегом записи и поддержкой namespaces.</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4.5 XLSX</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Excel workbook import with selectable worksheet, header row and column mapping.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Импорт Excel с выбором листа, строки заголовка и сопоставлением колонок.</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4.6 Detection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system first checks configured source profile and file extension, then optionally validates MIME/content signature before selecting a reader.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Система сначала проверяет профиль источника и расширение файла, затем при необходимости MIME/сигнатуру содержимого перед выбором reader.</w:t>
            </w:r>
          </w:p>
        </w:tc>
      </w:tr>
    </w:tbl>
    <w:p>
      <w:pPr>
        <w:spacing w:after="20"/>
      </w:pPr>
    </w:p>
    <w:p>
      <w:pPr>
        <w:pStyle w:val="Heading1"/>
      </w:pPr>
      <w:r>
        <w:t>5. Functional Requirements / Функциональные требования</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FR-01 File intake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application shall accept a file path and a source/partner profile identifier. Later implementations may accept uploaded streams.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Приложение должно принимать путь к файлу и идентификатор профиля источника/партнёра. Позже может поддерживаться загрузка потока.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FR-02 Format selection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application shall select the correct reader automatically or from explicit configuration.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Приложение должно выбирать соответствующий reader автоматически либо по явной конфигурации.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FR-03 Parsing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application shall parse the source file into a common internal batch/record structure.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Приложение должно преобразовывать исходный файл в общую внутреннюю структуру пакета/записей.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FR-04 Mapping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application shall map source fields to target fields using database/configuration-driven mapping rules rather than hard-coded field names.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Приложение должно сопоставлять исходные поля с целевыми по правилам из БД/конфигурации, а не через жёстко заданные имена полей в коде.</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FR-05 Transformation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Mappings may define trimming, case normalization, date parsing, numeric conversion, default values, concatenation and controlled custom transformations.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Маппинг может задавать trim, нормализацию регистра, разбор дат, преобразование чисел, значения по умолчанию, объединение и контролируемые пользовательские преобразования.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FR-06 Validation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Required fields, types, ranges, lengths, allowed values, referential rules and custom business rules shall be validated before final persistence.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Перед финальной записью должны проверяться обязательность, типы, диапазоны, длины, допустимые значения, ссылочные и пользовательские бизнес-правила.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FR-07 Row errors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Invalid rows shall be rejected or quarantined according to source policy without losing detailed error information.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Ошибочные строки должны отклоняться либо помещаться в quarantine в соответствии с политикой источника, с сохранением подробной информации об ошибках.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FR-08 Transaction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batch import shall use an explicit transaction strategy: all-or-nothing or partial acceptance, configurable per profile.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Пакетный импорт должен использовать явную транзакционную стратегию: всё или ничего либо частичное принятие, настраиваемое по профилю.</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FR-09 Duplicate protection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system shall support file-level duplicate detection by checksum and optional business-key duplicate detection at record level.</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Система должна поддерживать определение повторной загрузки файла по checksum и при необходимости дублей записей по бизнес-ключу.</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FR-10 Audit history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Every import shall have a unique import ID, timestamps, source, filename, checksum, row counts, status and error summary.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Каждый импорт должен иметь уникальный ID, временные метки, источник, имя файла, checksum, количество строк, статус и сводку ошибок.</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FR-11 Logging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Operational and error events shall be logged with correlation/import ID. Logs must not expose sensitive field values by default.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Операционные события и ошибки должны логироваться с correlation/import ID. По умолчанию логи не должны раскрывать чувствительные значения полей.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FR-12 Dry run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application should provide a validation-only/dry-run mode that performs parsing, mapping and validation without committing target records.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Приложение должно предусматривать режим validation-only/dry-run, который выполняет разбор, маппинг и валидацию без записи целевых данных.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FR-13 Summary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After each run, the application shall return a structured result: success/failure, processed/accepted/rejected counts, import ID and error report location.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После каждого запуска приложение должно возвращать структурированный результат: success/failure, processed/accepted/rejected, import ID и расположение отчёта об ошибках.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FR-14 Export foundation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Domain/repository interfaces should be designed so that a future SQL → CSV/JSON/XML/XLSX export pipeline can reuse the same mappings.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Интерфейсы domain/repository следует проектировать так, чтобы будущий конвейер SQL → CSV/JSON/XML/XLSX мог повторно использовать те же правила маппинга.</w:t>
            </w:r>
          </w:p>
        </w:tc>
      </w:tr>
    </w:tbl>
    <w:p>
      <w:pPr>
        <w:spacing w:after="20"/>
      </w:pPr>
    </w:p>
    <w:p>
      <w:pPr>
        <w:pStyle w:val="Heading1"/>
      </w:pPr>
      <w:r>
        <w:t>6. Database Requirements / Требования к базе данных</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DB-01 Platform</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Microsoft SQL Server 2025 Developer Edition for local development and testing.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Microsoft SQL Server 2025 Developer Edition для локальной разработки и тестирования.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DB-02 Development database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Database name proposal: ConverterDB. Dedicated schemas may be used, e.g. cfg, staging, core, audit.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Предлагаемое имя БД: ConverterDB. Можно использовать отдельные схемы, например cfg, staging, core, audit.</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DB-03 Configuration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Store partner/source profiles, file settings, target entities, field mappings, transformations and validation rules.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Хранить профили партнёров/источников, настройки файлов, целевые сущности, сопоставления полей, преобразования и правила валидации.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DB-04 Staging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Optionally load parsed/normalized source records into staging tables before moving valid records into core target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 необходимости загружать разобранные/нормализованные записи в staging-таблицы перед переносом валидных записей в core-таблицы.</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DB-05 Audit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Store import batch status, row counts, errors, checksums, execution duration and application version.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Хранить статус пакета импорта, количества строк, ошибки, checksums, длительность выполнения и версию приложения.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DB-06 Constraints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Use appropriate primary keys, foreign keys, unique constraints, indexes and NOT NULL constraints. Database constraints complement, not replace, application validation.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Использовать подходящие primary keys, foreign keys, unique constraints, индексы и NOT NULL. Ограничения БД дополняют, а не заменяют валидацию приложения.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DB-07 Access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shall connect through a dedicated SQL login/service account with least-privilege permissions for the converter database.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должен подключаться через отдельный SQL login/service account с минимально необходимыми правами на БД конвертора.</w:t>
            </w:r>
          </w:p>
        </w:tc>
      </w:tr>
    </w:tbl>
    <w:p>
      <w:pPr>
        <w:spacing w:after="20"/>
      </w:pPr>
    </w:p>
    <w:p>
      <w:pPr>
        <w:pStyle w:val="Heading1"/>
      </w:pPr>
      <w:r>
        <w:t>7. Initial Logical Tables / Начальные логические таблицы</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cfg.SourceProfile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Defines partner/source, active state, expected format, encoding, delimiter, worksheet/XML/JSON settings and import policy.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Описывает партнёра/источник, активность, ожидаемый формат, кодировку, delimiter, настройки worksheet/XML/JSON и политику импорта.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cfg.FieldMapping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Defines SourceProfile, source field/path, target entity/field, source type, target type, required flag, default value, transformation and order.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Описывает SourceProfile, исходное поле/путь, целевую сущность/поле, исходный и целевой типы, обязательность, default, преобразование и порядок.</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cfg.ValidationRule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Defines reusable validation rules or references to rule implementations.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Описывает переиспользуемые правила валидации либо ссылки на реализации правил.</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audit.ImportBatch</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One record per imported file/batch: ID, source, filename, checksum, started/finished timestamps, status and row statistics.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Одна запись на импортированный файл/пакет: ID, источник, имя файла, checksum, время начала/окончания, статус и статистика строк.</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audit.ImportError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Detailed batch/row/field errors with code, message and safe technical context.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Подробные ошибки пакета/строки/поля с кодом, сообщением и безопасным техническим контекстом.</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staging.*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Optional source-neutral staging tables or JSON payload storage for normalized intermediate records.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Опциональные source-neutral staging-таблицы либо хранение JSON payload для нормализованных промежуточных записей.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core.*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Target normalized domain tables. For the MVP, use generic demonstration entities rather than real patient/clinical data.</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Целевые нормализованные domain-таблицы. В MVP использовать универсальные демонстрационные сущности вместо реальных данных пациентов/клиники.</w:t>
            </w:r>
          </w:p>
        </w:tc>
      </w:tr>
    </w:tbl>
    <w:p>
      <w:pPr>
        <w:spacing w:after="20"/>
      </w:pPr>
    </w:p>
    <w:p>
      <w:pPr>
        <w:pStyle w:val="Heading1"/>
      </w:pPr>
      <w:r>
        <w:t>8. Python Technology Stack / Технологический стек Python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PY-01 Python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3.12+ recommended.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Рекомендуется Python 3.12+.</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PY-02 SQL access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SQLAlchemy 2.x for database abstraction and transactions; pyodbc with Microsoft ODBC Driver for SQL Server.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SQLAlchemy 2.x для работы с БД и транзакциями; pyodbc с Microsoft ODBC Driver for SQL Server.</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PY-03 CSV/TXT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csv module and/or pandas where tabular transformation is useful. Core design should not depend on pandas for every format.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Модуль Python csv и/или pandas там, где удобна табличная обработка. Базовая архитектура не должна зависеть от pandas для каждого формата.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PY-04 XLSX</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openpyxl for Excel workbook reading/writing.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openpyxl для чтения/записи Excel.</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PY-05 JSON/XML</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Standard json library; xml.etree.ElementTree initially, with lxml only if advanced XPath/schema needs justify it.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Стандартная библиотека json; на первом этапе xml.etree.ElementTree, а lxml — если понадобятся расширенные XPath/schema-возможности.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PY-06 Configuration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Environment variables plus YAML/JSON/TOML application configuration. Secrets shall not be committed to Git.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Переменные окружения плюс YAML/JSON/TOML-конфигурация приложения. Секреты не должны попадать в Git.</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PY-07 Logging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logging or structlog with rotating/file/console handlers and correlation IDs.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Python logging или structlog с file/console/rotation handlers и correlation IDs.</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PY-08 Testing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pytest for unit and integration tests. Testcontainers or a dedicated local SQL Server test database may be added later.</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pytest для unit/integration тестов. Позже можно добавить Testcontainers либо отдельную локальную тестовую SQL Server БД.</w:t>
            </w:r>
          </w:p>
        </w:tc>
      </w:tr>
    </w:tbl>
    <w:p>
      <w:pPr>
        <w:spacing w:after="20"/>
      </w:pPr>
    </w:p>
    <w:p>
      <w:pPr>
        <w:pStyle w:val="Heading1"/>
      </w:pPr>
      <w:r>
        <w:t>9. Proposed Project Structure / Предлагаемая структура проекта</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Structure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converter/</w:t>
              <w:br/>
              <w:t xml:space="preserve">  app/</w:t>
              <w:br/>
              <w:t xml:space="preserve">    readers/</w:t>
              <w:br/>
              <w:t xml:space="preserve">      base.py</w:t>
              <w:br/>
              <w:t xml:space="preserve">      csv_reader.py</w:t>
              <w:br/>
              <w:t xml:space="preserve">      txt_reader.py</w:t>
              <w:br/>
              <w:t xml:space="preserve">      json_reader.py</w:t>
              <w:br/>
              <w:t xml:space="preserve">      xml_reader.py</w:t>
              <w:br/>
              <w:t xml:space="preserve">      xlsx_reader.py</w:t>
              <w:br/>
              <w:t xml:space="preserve">    domain/</w:t>
              <w:br/>
              <w:t xml:space="preserve">      models.py</w:t>
              <w:br/>
              <w:t xml:space="preserve">    mapping/</w:t>
              <w:br/>
              <w:t xml:space="preserve">      mapper.py</w:t>
              <w:br/>
              <w:t xml:space="preserve">      transforms.py</w:t>
              <w:br/>
              <w:t xml:space="preserve">    validation/</w:t>
              <w:br/>
              <w:t xml:space="preserve">      validator.py</w:t>
              <w:br/>
              <w:t xml:space="preserve">      rules.py</w:t>
              <w:br/>
              <w:t xml:space="preserve">    services/</w:t>
              <w:br/>
              <w:t xml:space="preserve">      import_service.py</w:t>
              <w:br/>
              <w:t xml:space="preserve">    repositories/</w:t>
              <w:br/>
              <w:t xml:space="preserve">      import_repository.py</w:t>
              <w:br/>
              <w:t xml:space="preserve">      config_repository.py</w:t>
              <w:br/>
              <w:t xml:space="preserve">    database/</w:t>
              <w:br/>
              <w:t xml:space="preserve">      engine.py</w:t>
              <w:br/>
              <w:t xml:space="preserve">      models.py</w:t>
              <w:br/>
              <w:t xml:space="preserve">    config/</w:t>
              <w:br/>
              <w:t xml:space="preserve">      settings.py</w:t>
              <w:br/>
              <w:t xml:space="preserve">    logging/</w:t>
              <w:br/>
              <w:t xml:space="preserve">      setup.py</w:t>
              <w:br/>
              <w:t xml:space="preserve">    cli.py</w:t>
              <w:br/>
              <w:t xml:space="preserve">  tests/</w:t>
              <w:br/>
              <w:t xml:space="preserve">  samples/</w:t>
              <w:br/>
              <w:t xml:space="preserve">  migrations/</w:t>
              <w:br/>
              <w:t xml:space="preserve">  .env.example</w:t>
              <w:br/>
              <w:t xml:space="preserve">  requirements.txt / pyproject.toml</w:t>
              <w:br/>
              <w:t xml:space="preserve">  README.md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converter/</w:t>
              <w:br/>
              <w:t xml:space="preserve">  app/</w:t>
              <w:br/>
              <w:t xml:space="preserve">    readers/</w:t>
              <w:br/>
              <w:t xml:space="preserve">      base.py</w:t>
              <w:br/>
              <w:t xml:space="preserve">      csv_reader.py</w:t>
              <w:br/>
              <w:t xml:space="preserve">      txt_reader.py</w:t>
              <w:br/>
              <w:t xml:space="preserve">      json_reader.py</w:t>
              <w:br/>
              <w:t xml:space="preserve">      xml_reader.py</w:t>
              <w:br/>
              <w:t xml:space="preserve">      xlsx_reader.py</w:t>
              <w:br/>
              <w:t xml:space="preserve">    domain/</w:t>
              <w:br/>
              <w:t xml:space="preserve">      models.py</w:t>
              <w:br/>
              <w:t xml:space="preserve">    mapping/</w:t>
              <w:br/>
              <w:t xml:space="preserve">      mapper.py</w:t>
              <w:br/>
              <w:t xml:space="preserve">      transforms.py</w:t>
              <w:br/>
              <w:t xml:space="preserve">    validation/</w:t>
              <w:br/>
              <w:t xml:space="preserve">      validator.py</w:t>
              <w:br/>
              <w:t xml:space="preserve">      rules.py</w:t>
              <w:br/>
              <w:t xml:space="preserve">    services/</w:t>
              <w:br/>
              <w:t xml:space="preserve">      import_service.py</w:t>
              <w:br/>
              <w:t xml:space="preserve">    repositories/</w:t>
              <w:br/>
              <w:t xml:space="preserve">      import_repository.py</w:t>
              <w:br/>
              <w:t xml:space="preserve">      config_repository.py</w:t>
              <w:br/>
              <w:t xml:space="preserve">    database/</w:t>
              <w:br/>
              <w:t xml:space="preserve">      engine.py</w:t>
              <w:br/>
              <w:t xml:space="preserve">      models.py</w:t>
              <w:br/>
              <w:t xml:space="preserve">    config/</w:t>
              <w:br/>
              <w:t xml:space="preserve">      settings.py</w:t>
              <w:br/>
              <w:t xml:space="preserve">    logging/</w:t>
              <w:br/>
              <w:t xml:space="preserve">      setup.py</w:t>
              <w:br/>
              <w:t xml:space="preserve">    cli.py</w:t>
              <w:br/>
              <w:t xml:space="preserve">  tests/</w:t>
              <w:br/>
              <w:t xml:space="preserve">  samples/</w:t>
              <w:br/>
              <w:t xml:space="preserve">  migrations/</w:t>
              <w:br/>
              <w:t xml:space="preserve">  .env.example</w:t>
              <w:br/>
              <w:t xml:space="preserve">  requirements.txt / pyproject.toml</w:t>
              <w:br/>
              <w:t xml:space="preserve">  README.md</w:t>
            </w:r>
          </w:p>
        </w:tc>
      </w:tr>
    </w:tbl>
    <w:p>
      <w:pPr>
        <w:spacing w:after="20"/>
      </w:pPr>
    </w:p>
    <w:p>
      <w:pPr>
        <w:pStyle w:val="Heading1"/>
      </w:pPr>
      <w:r>
        <w:t>10. Mapping Model / Модель маппинга</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MAP-01 Principle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Mappings are data/configuration, not application code. The same converter executable should support multiple partners by selecting another SourceProfile.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Маппинг является данными/конфигурацией, а не кодом приложения. Один и тот же конвертор должен поддерживать разных партнёров выбором другого SourceProfile.</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MAP-02 Example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Partner A: PatientNr → subject_id; Messwert → value. Partner B: subjectCode → subject_id; result → value.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Партнёр A: PatientNr → subject_id; Messwert → value. Партнёр B: subjectCode → subject_id; result → value.</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MAP-03 Transform chain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mapping may execute an ordered transform chain, e.g. trim → parse date → normalize timezone → target conversion.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Маппинг может выполнять упорядоченную цепочку преобразований, например trim → parse date → normalize timezone → target conversion.</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MAP-04 Extensibility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Custom transformation functions shall be registered by safe names; arbitrary code from database configuration must not be executed.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Пользовательские функции преобразования должны регистрироваться под безопасными именами; произвольный код из конфигурации БД выполнять запрещено.</w:t>
            </w:r>
          </w:p>
        </w:tc>
      </w:tr>
    </w:tbl>
    <w:p>
      <w:pPr>
        <w:spacing w:after="20"/>
      </w:pPr>
    </w:p>
    <w:p>
      <w:pPr>
        <w:pStyle w:val="Heading1"/>
      </w:pPr>
      <w:r>
        <w:t>11. Validation and Error Handling / Валидация и обработка ошибок</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VAL-01 Levels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Validation is performed at file, schema, row, field and business-rule levels.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Валидация выполняется на уровнях файла, схемы, строки, поля и бизнес-правил.</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VAL-02 File errors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Unreadable, unsupported, empty or structurally invalid files fail before database persistence.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Нечитаемые, неподдерживаемые, пустые или структурно некорректные файлы завершаются ошибкой до записи данных.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VAL-03 Field errors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Error records include import ID, row number/key, field, error code and a safe message.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Запись ошибки содержит import ID, номер/ключ строки, поле, код ошибки и безопасное сообщение.</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VAL-04 Recovery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failed transaction shall roll back according to configured batch policy. The audit record shall still reflect failure and reason.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Неуспешная транзакция откатывается в соответствии с политикой пакета. Audit-запись при этом должна зафиксировать ошибку и причину.</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VAL-05 Quarantine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Rejected records may be stored in a dedicated quarantine/staging area for correction and controlled reprocessing.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Отклонённые записи могут сохраняться в отдельной quarantine/staging области для исправления и контролируемого повторного запуска.</w:t>
            </w:r>
          </w:p>
        </w:tc>
      </w:tr>
    </w:tbl>
    <w:p>
      <w:pPr>
        <w:spacing w:after="20"/>
      </w:pPr>
    </w:p>
    <w:p>
      <w:pPr>
        <w:pStyle w:val="Heading1"/>
      </w:pPr>
      <w:r>
        <w:t>12. Security and Data Protection / Безопасность и защита данных</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SEC-01 Test data</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Development shall use synthetic or properly anonymized data. No real patient identifiers are required for the portfolio prototype.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В разработке должны использоваться синтетические либо корректно анонимизированные данные. Реальные идентификаторы пациентов для портфолио-прототипа не нужны.</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SEC-02 Least privilege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Database credentials shall have only required permissions. Administrative SQL credentials shall not be embedded in code.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Учётные данные БД должны иметь только необходимые права. Административные SQL credentials нельзя встраивать в код.</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SEC-03 Secrets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Passwords and connection secrets shall be provided via environment/secret configuration and excluded from repository history.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Пароли и секреты подключения должны передаваться через environment/secret configuration и исключаться из истории репозитория.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SEC-04 Logging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Sensitive payloads shall not be logged by default. Errors should identify technical context without dumping complete source records.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Чувствительные payload по умолчанию не логируются. Ошибки должны указывать технический контекст без выгрузки полной исходной записи.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SEC-05 File handling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Input files shall be processed from controlled directories; archive/quarantine behavior and retention shall be configurable.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Входные файлы должны обрабатываться из контролируемых каталогов; архивирование/quarantine и сроки хранения должны настраиваться.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SEC-06 Future healthcare deployment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real clinical deployment would require organization-specific GDPR, authorization, retention, encryption, audit and information-security controls beyond this MVP.</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Реальное клиническое развёртывание потребует организационно-специфических мер GDPR, авторизации, хранения, шифрования, аудита и информационной безопасности сверх данного MVP.</w:t>
            </w:r>
          </w:p>
        </w:tc>
      </w:tr>
    </w:tbl>
    <w:p>
      <w:pPr>
        <w:spacing w:after="20"/>
      </w:pPr>
    </w:p>
    <w:p>
      <w:pPr>
        <w:pStyle w:val="Heading1"/>
      </w:pPr>
      <w:r>
        <w:t>13. Non-Functional Requirements / Нефункциональные требования</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NFR-01 Maintainability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New input formats and partner mappings shall be addable with minimal changes to existing modules.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Новые форматы и маппинги партнёров должны добавляться с минимальными изменениями существующих модулей.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NFR-02 Testability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Reader, mapper, validator and repository layers shall be independently unit-testable.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Слои reader, mapper, validator и repository должны независимо покрываться unit-тестами.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NFR-03 Performance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MVP target: process typical development files of up to at least 100,000 rows without loading unnecessary duplicate copies into memory. Performance shall be measured rather than assumed.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Цель MVP: обрабатывать типовые тестовые файлы минимум до 100 000 строк без ненужного дублирования данных в памяти. Производительность должна измеряться, а не предполагаться.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NFR-04 Reliability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Database writes shall use transactions and parameterized SQL/ORM operations. Failed runs shall be diagnosable from logs and audit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Запись в БД должна использовать транзакции и parameterized SQL/ORM. Неуспешные запуски должны диагностироваться по логам и audit-таблицам.</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NFR-05 Portability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Application-specific code shall avoid Windows-only assumptions except where SQL Server/ODBC configuration requires them.</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Код приложения не должен зависеть от Windows, кроме мест, где это требуется настройкой SQL Server/ODBC.</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NFR-06 Documentation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README shall document installation, database setup, sample profiles, execution commands and test procedure.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README должен описывать установку, настройку БД, примеры профилей, команды запуска и процедуру тестирования.</w:t>
            </w:r>
          </w:p>
        </w:tc>
      </w:tr>
    </w:tbl>
    <w:p>
      <w:pPr>
        <w:spacing w:after="20"/>
      </w:pPr>
    </w:p>
    <w:p>
      <w:pPr>
        <w:pStyle w:val="Heading1"/>
      </w:pPr>
      <w:r>
        <w:t>14. CLI MVP / Консольный интерфейс MVP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CLI-01 Import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Example: python -m app.cli import --profile uni_a --file samples/input.csv</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Пример: python -m app.cli import --profile uni_a --file samples/input.csv</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CLI-02 Dry run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Example: python -m app.cli import --profile uni_a --file samples/input.csv --dry-run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Пример: python -m app.cli import --profile uni_a --file samples/input.csv --dry-run</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CLI-03 Result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Console output shall show import ID, status, processed/accepted/rejected counts and elapsed time.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Консольный вывод должен показывать import ID, статус, processed/accepted/rejected и время выполнения.</w:t>
            </w:r>
          </w:p>
        </w:tc>
      </w:tr>
    </w:tbl>
    <w:p>
      <w:pPr>
        <w:spacing w:after="20"/>
      </w:pPr>
    </w:p>
    <w:p>
      <w:pPr>
        <w:pStyle w:val="Heading1"/>
      </w:pPr>
      <w:r>
        <w:t>15. Testing Strategy / Стратегия тестирования</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TEST-01 Unit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Unit tests for each reader, transform, mapping rule and validation rule.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Unit-тесты для каждого reader, преобразования, правила маппинга и валидации.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TEST-02 Integration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Integration tests against SQL Server for transactions, constraints, repositories and audit history.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Integration-тесты с SQL Server для транзакций, ограничений, repositories и audit history.</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TEST-03 Fixtures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Maintain small sample files for each supported format containing valid, invalid, missing, malformed and duplicate cases.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Поддерживать небольшие sample-файлы каждого формата с валидными, ошибочными, отсутствующими, повреждёнными и дублирующимися значениями.</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TEST-04 Acceptance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same logical dataset represented in CSV, JSON, XML and XLSX should produce equivalent normalized target records.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Один и тот же логический набор данных в CSV, JSON, XML и XLSX должен приводить к эквивалентным нормализованным целевым записям.</w:t>
            </w:r>
          </w:p>
        </w:tc>
      </w:tr>
    </w:tbl>
    <w:p>
      <w:pPr>
        <w:spacing w:after="20"/>
      </w:pPr>
    </w:p>
    <w:p>
      <w:pPr>
        <w:pStyle w:val="Heading1"/>
      </w:pPr>
      <w:r>
        <w:t>16. MVP Acceptance Criteria / Критерии приёмки MVP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AC-01</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SQL Server database is created and Python connects using a non-admin application account.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Создана SQL Server БД, Python подключается через неадминистративную учётную запись приложения.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AC-02</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CSV, JSON, XML and XLSX imports are demonstrated; TXT can reuse configurable text reader logic.</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Продемонстрирован импорт CSV, JSON, XML и XLSX; TXT может использовать настраиваемую логику текстового reader.</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AC-03</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At least two different SourceProfiles map different source field names into the same target model without changing Python business code.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Минимум два разных SourceProfile сопоставляют разные имена исходных полей с одной целевой моделью без изменения бизнес-кода Python.</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AC-04</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Invalid records are reported with actionable error details and do not silently corrupt target data.</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Ошибочные записи отображаются с понятными деталями и не приводят к скрытому повреждению целевых данных.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AC-05</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Duplicate import of the same file is detected by checksum.</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Повторный импорт того же файла определяется по checksum.</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AC-06</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Import history and error information are visible in SQL audit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История импорта и ошибки доступны в SQL audit-таблицах.</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AC-07</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Automated tests cover core readers, mapping, validation and database import path.</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Автоматизированные тесты покрывают основные readers, mapping, validation и путь импорта в БД.</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AC-08</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README contains reproducible setup and demo steps.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README содержит воспроизводимые шаги установки и демонстрации.</w:t>
            </w:r>
          </w:p>
        </w:tc>
      </w:tr>
    </w:tbl>
    <w:p>
      <w:pPr>
        <w:spacing w:after="20"/>
      </w:pPr>
    </w:p>
    <w:p>
      <w:pPr>
        <w:pStyle w:val="Heading1"/>
      </w:pPr>
      <w:r>
        <w:t>17. Development Phases / Этапы разработки</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1 – Environment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Install SQL Server 2025 Developer, SSMS, Microsoft ODBC Driver, Python environment; create ConverterDB and Git repository.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Установить SQL Server 2025 Developer, SSMS, Microsoft ODBC Driver, Python environment; создать ConverterDB и Git-репозиторий.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2 – Foundation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Create project structure, settings, logging, SQLAlchemy connection, database schemas and audit/config tables.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Создать структуру проекта, settings, logging, SQLAlchemy-подключение, схемы БД и audit/config таблицы.</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3 – First vertical slice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Implement CSV reader → internal model → mapping → validation → SQL import → audit result.</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Реализовать полный путь CSV reader → internal model → mapping → validation → SQL import → audit result.</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4 – Additional adapters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Add JSON, XML, XLSX and configurable TXT readers using the same reader interface.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Добавить JSON, XML, XLSX и настраиваемый TXT readers через общий интерфейс.</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5 – Robustness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Add duplicate detection, dry-run, quarantine, improved errors, transaction policies and automated integration tests.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Добавить duplicate detection, dry-run, quarantine, улучшенную обработку ошибок, transaction policies и integration-тесты.</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6 – Portfolio demo</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Prepare synthetic partner datasets, architecture diagram, README, screenshots/SQL examples and concise project description.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Подготовить синтетические наборы данных партнёров, архитектурную схему, README, screenshots/SQL-примеры и краткое описание проекта.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Phase 7 – Optional extension</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REST API, Docker, scheduled processing, SQL-to-SQL connector, export pipeline and simple mapping administration UI.</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REST API, Docker, плановая обработка, SQL-to-SQL connector, экспортный pipeline и простой UI администрирования маппинга.</w:t>
            </w:r>
          </w:p>
        </w:tc>
      </w:tr>
    </w:tbl>
    <w:p>
      <w:pPr>
        <w:spacing w:after="20"/>
      </w:pPr>
    </w:p>
    <w:p>
      <w:pPr>
        <w:pStyle w:val="Heading1"/>
      </w:pPr>
      <w:r>
        <w:t>18. Design Principles / Принципы проектирования</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P-01</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Configuration over hard-coding.</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Конфигурация вместо hard-code.</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P-02</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One canonical internal model; many adapters.</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Одна каноническая внутренняя модель; много адаптеров.</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P-03</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Separation of parsing, mapping, validation and persistence.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Разделение разбора, маппинга, валидации и сохранения.</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P-04</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Traceability: every imported file and rejected row must be explainable.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Трассируемость: каждый импортированный файл и отклонённая строка должны быть объяснимы.</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P-05</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Safe evolution: add partners and formats without rewriting the converter core.</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Безопасное развитие: добавлять партнёров и форматы без переписывания ядра конвертора.</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P-06</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The MVP demonstrates integration architecture, not a clinical production system.</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MVP демонстрирует архитектуру интеграции, а не клиническую production-систему.</w:t>
            </w:r>
          </w:p>
        </w:tc>
      </w:tr>
    </w:tbl>
    <w:p>
      <w:pPr>
        <w:spacing w:after="20"/>
      </w:pPr>
    </w:p>
    <w:p>
      <w:pPr>
        <w:pStyle w:val="Heading1"/>
      </w:pPr>
      <w:r>
        <w:t>19. Initial Definition of Done / Первичное Definition of Done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tcMar>
              <w:top w:w="70" w:type="dxa"/>
              <w:start w:w="80" w:type="dxa"/>
              <w:bottom w:w="70" w:type="dxa"/>
              <w:end w:w="80" w:type="dxa"/>
            </w:tcMar>
            <w:shd w:fill="D9EAF7"/>
          </w:tcPr>
          <w:p>
            <w:pPr>
              <w:pStyle w:val="TableSmall"/>
              <w:spacing w:after="0"/>
            </w:pPr>
            <w:r/>
            <w:r>
              <w:rPr>
                <w:rFonts w:ascii="Aptos" w:hAnsi="Aptos"/>
                <w:b/>
                <w:sz w:val="18"/>
              </w:rPr>
              <w:t>ID / Topic</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English</w:t>
            </w:r>
          </w:p>
        </w:tc>
        <w:tc>
          <w:tcPr>
            <w:tcW w:type="dxa" w:w="4896"/>
            <w:vAlign w:val="top"/>
            <w:tcMar>
              <w:top w:w="70" w:type="dxa"/>
              <w:start w:w="80" w:type="dxa"/>
              <w:bottom w:w="70" w:type="dxa"/>
              <w:end w:w="80" w:type="dxa"/>
            </w:tcMar>
            <w:shd w:fill="D9EAF7"/>
          </w:tcPr>
          <w:p>
            <w:pPr>
              <w:pStyle w:val="TableSmall"/>
              <w:spacing w:after="0"/>
            </w:pPr>
            <w:r/>
            <w:r>
              <w:rPr>
                <w:rFonts w:ascii="Aptos" w:hAnsi="Aptos"/>
                <w:b/>
                <w:sz w:val="18"/>
              </w:rPr>
              <w:t>Русский</w:t>
            </w:r>
          </w:p>
        </w:tc>
      </w:tr>
      <w:tr>
        <w:tc>
          <w:tcPr>
            <w:tcW w:type="dxa" w:w="1872"/>
            <w:vAlign w:val="top"/>
            <w:tcMar>
              <w:top w:w="70" w:type="dxa"/>
              <w:start w:w="80" w:type="dxa"/>
              <w:bottom w:w="70" w:type="dxa"/>
              <w:end w:w="80" w:type="dxa"/>
            </w:tcMar>
          </w:tcPr>
          <w:p>
            <w:pPr>
              <w:pStyle w:val="TableSmall"/>
              <w:spacing w:after="0"/>
            </w:pPr>
            <w:r/>
            <w:r>
              <w:rPr>
                <w:rFonts w:ascii="Aptos" w:hAnsi="Aptos"/>
                <w:b/>
                <w:sz w:val="17"/>
              </w:rPr>
              <w:t>DoD</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A fresh developer workstation can follow the README, create the database, configure one connection string, run tests, import synthetic files from at least four formats through the same pipeline, see normalized records in SQL Server, and inspect an auditable import/error history.</w:t>
            </w:r>
          </w:p>
        </w:tc>
        <w:tc>
          <w:tcPr>
            <w:tcW w:type="dxa" w:w="4896"/>
            <w:vAlign w:val="top"/>
            <w:tcMar>
              <w:top w:w="70" w:type="dxa"/>
              <w:start w:w="80" w:type="dxa"/>
              <w:bottom w:w="70" w:type="dxa"/>
              <w:end w:w="80" w:type="dxa"/>
            </w:tcMar>
          </w:tcPr>
          <w:p>
            <w:pPr>
              <w:pStyle w:val="TableSmall"/>
              <w:spacing w:after="0"/>
            </w:pPr>
            <w:r/>
            <w:r>
              <w:rPr>
                <w:rFonts w:ascii="Aptos" w:hAnsi="Aptos"/>
                <w:b w:val="0"/>
                <w:sz w:val="17"/>
              </w:rPr>
              <w:t>Новый разработчик может по README создать БД, настроить одну строку подключения, запустить тесты, импортировать синтетические файлы минимум четырёх форматов через единый pipeline, увидеть нормализованные записи в SQL Server и проверить трассируемую историю импортов/ошибок.</w:t>
            </w:r>
          </w:p>
        </w:tc>
      </w:tr>
    </w:tbl>
    <w:p>
      <w:pPr>
        <w:spacing w:after="20"/>
      </w:pP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Universal Data Converter | Technical Specification v0.1 | Backend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before="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