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New York University</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Systems - CSCI-GA.2433-001</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Ronojoy Mitra</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Database Systems Project Part I – Modeling</w:t>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 Introduction</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report is to go with the entity relationship diagram of an Insurance company and verify that the cases listed are covered and describe the amends and additions made to the design. </w:t>
      </w:r>
    </w:p>
    <w:p w:rsidR="00000000" w:rsidDel="00000000" w:rsidP="00000000" w:rsidRDefault="00000000" w:rsidRPr="00000000" w14:paraId="0000000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The blueprint was examined closely and the entities were identified, primary and foreign keys were deciphered and the relationships were classified in the process of making the entity relationship diagram. </w:t>
      </w:r>
    </w:p>
    <w:p w:rsidR="00000000" w:rsidDel="00000000" w:rsidP="00000000" w:rsidRDefault="00000000" w:rsidRPr="00000000" w14:paraId="0000000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was made using draw.io and used the crows foot style of notation. It incorporates all the entities from the blueprint plus a few additions which shall be explored later on in the report.</w:t>
      </w:r>
    </w:p>
    <w:p w:rsidR="00000000" w:rsidDel="00000000" w:rsidP="00000000" w:rsidRDefault="00000000" w:rsidRPr="00000000" w14:paraId="0000001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 Modeling Conventions</w:t>
      </w:r>
    </w:p>
    <w:p w:rsidR="00000000" w:rsidDel="00000000" w:rsidP="00000000" w:rsidRDefault="00000000" w:rsidRPr="00000000" w14:paraId="0000001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foot style of notation was adapted for the entity relationship diagram since Chen’s notation would have been impractical due to legibility at the scale of the blueprint. </w:t>
        <w:br w:type="textWrapping"/>
        <w:t xml:space="preserve">The conventions followed are as follows</w:t>
      </w:r>
    </w:p>
    <w:p w:rsidR="00000000" w:rsidDel="00000000" w:rsidP="00000000" w:rsidRDefault="00000000" w:rsidRPr="00000000" w14:paraId="00000015">
      <w:pPr>
        <w:numPr>
          <w:ilvl w:val="1"/>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Entities are boxes with attributes listed inside each box.</w:t>
      </w:r>
    </w:p>
    <w:p w:rsidR="00000000" w:rsidDel="00000000" w:rsidP="00000000" w:rsidRDefault="00000000" w:rsidRPr="00000000" w14:paraId="00000016">
      <w:pPr>
        <w:numPr>
          <w:ilvl w:val="1"/>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Underlined attributes are members of the primary key as well as attributes marked with ‘(PK)’.</w:t>
      </w:r>
    </w:p>
    <w:p w:rsidR="00000000" w:rsidDel="00000000" w:rsidP="00000000" w:rsidRDefault="00000000" w:rsidRPr="00000000" w14:paraId="00000017">
      <w:pPr>
        <w:numPr>
          <w:ilvl w:val="1"/>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Italicized attributes and attributes marked with ‘(FK)’ are foreign keys in addition to ‘(PK/FK)’ marking an attribute that is both.</w:t>
      </w:r>
    </w:p>
    <w:p w:rsidR="00000000" w:rsidDel="00000000" w:rsidP="00000000" w:rsidRDefault="00000000" w:rsidRPr="00000000" w14:paraId="00000018">
      <w:pPr>
        <w:numPr>
          <w:ilvl w:val="1"/>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solid relationship line denotes an identifying relationship and a dashed line denotes a non identifying relationship.</w:t>
      </w:r>
    </w:p>
    <w:p w:rsidR="00000000" w:rsidDel="00000000" w:rsidP="00000000" w:rsidRDefault="00000000" w:rsidRPr="00000000" w14:paraId="00000019">
      <w:pPr>
        <w:numPr>
          <w:ilvl w:val="1"/>
          <w:numId w:val="6"/>
        </w:numPr>
        <w:ind w:left="1440" w:hanging="360"/>
        <w:rPr>
          <w:rFonts w:ascii="Times New Roman" w:cs="Times New Roman" w:eastAsia="Times New Roman" w:hAnsi="Times New Roman"/>
          <w:u w:val="none"/>
        </w:rPr>
      </w:pPr>
      <w:r w:rsidDel="00000000" w:rsidR="00000000" w:rsidRPr="00000000">
        <w:rPr>
          <w:rFonts w:ascii="Arial Unicode MS" w:cs="Arial Unicode MS" w:eastAsia="Arial Unicode MS" w:hAnsi="Arial Unicode MS"/>
          <w:rtl w:val="0"/>
        </w:rPr>
        <w:t xml:space="preserve">The crows foot cardinality is used with a single bar (❘) being the one end and a fork (&lt;) being the many end.</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borrows the general colors used in the blueprint, while not exactly the same shade it is used to signify a general subject area in the entity relationship diagram. When the blueprint did not state a primary key explicitly it was inferred from the foreign keys of the referencing tables.</w:t>
      </w:r>
    </w:p>
    <w:p w:rsidR="00000000" w:rsidDel="00000000" w:rsidP="00000000" w:rsidRDefault="00000000" w:rsidRPr="00000000" w14:paraId="0000001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 Subject Areas and Descriptions</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subject areas that were taken from the blueprint are as follows</w:t>
      </w:r>
    </w:p>
    <w:p w:rsidR="00000000" w:rsidDel="00000000" w:rsidP="00000000" w:rsidRDefault="00000000" w:rsidRPr="00000000" w14:paraId="00000020">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Account</w:t>
      </w:r>
    </w:p>
    <w:p w:rsidR="00000000" w:rsidDel="00000000" w:rsidP="00000000" w:rsidRDefault="00000000" w:rsidRPr="00000000" w14:paraId="00000021">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Account subject area is anchored by Account-h and a set of associative entities that resolve its many to many relationships, Acct_AcctAdmin(accounts to administrators), Account_Member(accounts to customers/employees) and AccountRelation(account to account) which is self referencing to name a few. CompanyCode participates in Account-h’s primary key which allows distinguishing between companies.</w:t>
      </w:r>
    </w:p>
    <w:p w:rsidR="00000000" w:rsidDel="00000000" w:rsidP="00000000" w:rsidRDefault="00000000" w:rsidRPr="00000000" w14:paraId="00000022">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Invoice</w:t>
      </w:r>
    </w:p>
    <w:p w:rsidR="00000000" w:rsidDel="00000000" w:rsidP="00000000" w:rsidRDefault="00000000" w:rsidRPr="00000000" w14:paraId="00000023">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Invoice subject area contains all the billing and contract entities. BillingAccount-h generates invoices which decompose into the InvoiceDetail lines that are tied to specific contracts and an InvoiceDetailActivity log for changes. Inbound payments are captured by Remittance and FinancialInstitution.</w:t>
      </w:r>
    </w:p>
    <w:p w:rsidR="00000000" w:rsidDel="00000000" w:rsidP="00000000" w:rsidRDefault="00000000" w:rsidRPr="00000000" w14:paraId="00000024">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w:t>
      </w:r>
    </w:p>
    <w:p w:rsidR="00000000" w:rsidDel="00000000" w:rsidP="00000000" w:rsidRDefault="00000000" w:rsidRPr="00000000" w14:paraId="00000025">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Customer subject area is a connection hub that contains detailed entities such as CustomerAddress, Customer Alias, CustomerImage to name a few. Most of its cases are resolved by junctions that link customers outwards to Contract and Account for example. The customer entity carries SSN_TIN which allows non natural parties such as trusts to be represented. </w:t>
      </w:r>
    </w:p>
    <w:p w:rsidR="00000000" w:rsidDel="00000000" w:rsidP="00000000" w:rsidRDefault="00000000" w:rsidRPr="00000000" w14:paraId="00000026">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Associate</w:t>
      </w:r>
    </w:p>
    <w:p w:rsidR="00000000" w:rsidDel="00000000" w:rsidP="00000000" w:rsidRDefault="00000000" w:rsidRPr="00000000" w14:paraId="00000027">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Associate subject area is quite large. It contains two parallel hierarchies, the SitCode chain and the Geographic chain. The SitCode chain is the organizational reporting structure where an Associate can hold many WritingNumbers with each of them carrying many SitCodes/ManagerContracts and each of them point to its parent fields forming an upline chain. The Geographic chain is populated by the coordinator and assistant entities and goes from territory all the way to district. The two hierarchies have the same premium accounted for each of them along their chains, the commissions along the SitCode chain and the production credit along the geographic chain.</w:t>
      </w:r>
    </w:p>
    <w:p w:rsidR="00000000" w:rsidDel="00000000" w:rsidP="00000000" w:rsidRDefault="00000000" w:rsidRPr="00000000" w14:paraId="00000028">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Contract</w:t>
      </w:r>
    </w:p>
    <w:p w:rsidR="00000000" w:rsidDel="00000000" w:rsidP="00000000" w:rsidRDefault="00000000" w:rsidRPr="00000000" w14:paraId="00000029">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Contract subject area has a subtype/supertype specialization where Contract-h is a generic supertype that specialized the line of business into LifePolicy, AHPolicy, and FLEXAgreement. The same split is in ContractBenefit and ContractPremium. One contract has many benefits and each benefit has many premiums.</w:t>
      </w:r>
    </w:p>
    <w:p w:rsidR="00000000" w:rsidDel="00000000" w:rsidP="00000000" w:rsidRDefault="00000000" w:rsidRPr="00000000" w14:paraId="0000002A">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Product</w:t>
      </w:r>
    </w:p>
    <w:p w:rsidR="00000000" w:rsidDel="00000000" w:rsidP="00000000" w:rsidRDefault="00000000" w:rsidRPr="00000000" w14:paraId="0000002B">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Product subject area has a four level identifying hierarchy consisting of Product-h, ProductSeries-h, ProductPlan-h and ProductRider-h with guideline and ratebook entities attached. These entities are the product catalog with the contract area holding the instances. </w:t>
      </w:r>
    </w:p>
    <w:p w:rsidR="00000000" w:rsidDel="00000000" w:rsidP="00000000" w:rsidRDefault="00000000" w:rsidRPr="00000000" w14:paraId="0000002C">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Claims</w:t>
      </w:r>
    </w:p>
    <w:p w:rsidR="00000000" w:rsidDel="00000000" w:rsidP="00000000" w:rsidRDefault="00000000" w:rsidRPr="00000000" w14:paraId="0000002D">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Claims subject area is anchored by Claim with identifying children for images and notes and two junctions, Coverage_Claim ties a claim to the specific benefit being claimed and Claimant/Participant is a three way link between Customer, Claim and Contract-h.  It also records customer and participant identity helping distinguish a person</w:t>
      </w:r>
    </w:p>
    <w:p w:rsidR="00000000" w:rsidDel="00000000" w:rsidP="00000000" w:rsidRDefault="00000000" w:rsidRPr="00000000" w14:paraId="0000002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 Case Verification</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 through the business cases supplied and identifying the entity/structure that supports it.</w:t>
      </w:r>
    </w:p>
    <w:p w:rsidR="00000000" w:rsidDel="00000000" w:rsidP="00000000" w:rsidRDefault="00000000" w:rsidRPr="00000000" w14:paraId="00000031">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Account (n..n) BillingAccount</w:t>
      </w:r>
    </w:p>
    <w:p w:rsidR="00000000" w:rsidDel="00000000" w:rsidP="00000000" w:rsidRDefault="00000000" w:rsidRPr="00000000" w14:paraId="0000003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WalMart, Columbus uses 3 PO boxes for FSA, Life and A&amp;H invoices.</w:t>
      </w:r>
    </w:p>
    <w:p w:rsidR="00000000" w:rsidDel="00000000" w:rsidP="00000000" w:rsidRDefault="00000000" w:rsidRPr="00000000" w14:paraId="0000003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WalMart, Columbus uses 3 PO boxes for FSA, Life and A&amp;H invoices for salaried / hourly employees.</w:t>
      </w:r>
    </w:p>
    <w:p w:rsidR="00000000" w:rsidDel="00000000" w:rsidP="00000000" w:rsidRDefault="00000000" w:rsidRPr="00000000" w14:paraId="0000003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Keith’s Garage can use 1 address for all company business. Cliff’s Garage and Scott’s Dry Cleaners pays Keith’s Garage a fee to do their company paperwork</w:t>
      </w:r>
    </w:p>
    <w:p w:rsidR="00000000" w:rsidDel="00000000" w:rsidP="00000000" w:rsidRDefault="00000000" w:rsidRPr="00000000" w14:paraId="0000003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Account_BillingAccount resolves the n:n in both directions (one account to many billing accounts and one billing account serving many accounts). Thus it is supported.</w:t>
      </w:r>
    </w:p>
    <w:p w:rsidR="00000000" w:rsidDel="00000000" w:rsidP="00000000" w:rsidRDefault="00000000" w:rsidRPr="00000000" w14:paraId="0000003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Account (n..n) Account </w:t>
      </w:r>
    </w:p>
    <w:p w:rsidR="00000000" w:rsidDel="00000000" w:rsidP="00000000" w:rsidRDefault="00000000" w:rsidRPr="00000000" w14:paraId="0000003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The Archdiocese of Orlando has St. Jude’s Church and St. Mary’s Church as members and fellow company participants. St. Jude’s Church uses the Archdiocese of Orlando as its GroupMaster master and Pepsi Co. as its Flex Master. </w:t>
      </w:r>
    </w:p>
    <w:p w:rsidR="00000000" w:rsidDel="00000000" w:rsidP="00000000" w:rsidRDefault="00000000" w:rsidRPr="00000000" w14:paraId="0000003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AccountRelation with RelationshipType in its key so the same pair can hold multiple relationship types. Thus it is supported.</w:t>
      </w:r>
    </w:p>
    <w:p w:rsidR="00000000" w:rsidDel="00000000" w:rsidP="00000000" w:rsidRDefault="00000000" w:rsidRPr="00000000" w14:paraId="0000003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Account (n..n) AccountAdmin </w:t>
      </w:r>
    </w:p>
    <w:p w:rsidR="00000000" w:rsidDel="00000000" w:rsidP="00000000" w:rsidRDefault="00000000" w:rsidRPr="00000000" w14:paraId="0000003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WalMart, Columbus uses 3 administrators for FSA, Life and A&amp;H invoices. A particular administrator is an FSA expert and services multiple accounts. </w:t>
      </w:r>
    </w:p>
    <w:p w:rsidR="00000000" w:rsidDel="00000000" w:rsidP="00000000" w:rsidRDefault="00000000" w:rsidRPr="00000000" w14:paraId="0000003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Acct_AcctAdmin resolves the n:n relationship. Thus it is supported.</w:t>
      </w:r>
    </w:p>
    <w:p w:rsidR="00000000" w:rsidDel="00000000" w:rsidP="00000000" w:rsidRDefault="00000000" w:rsidRPr="00000000" w14:paraId="0000003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Account (1..n) AccountMember </w:t>
      </w:r>
    </w:p>
    <w:p w:rsidR="00000000" w:rsidDel="00000000" w:rsidP="00000000" w:rsidRDefault="00000000" w:rsidRPr="00000000" w14:paraId="0000004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Keith’s Garage has multiple employees. Shannon, currently employed at Keith’s Garage, previously worked at (where he purchased / maintains policies) Gary’s Trucking Co. Shannon works at Keith’s Garage and moonlights at Gary’s Trucking Co. Keeping a 13 month history on records to allow Shannon, currently employed at Keith’s Garage, previously worked at (where he purchased / maintains policies) Gary’s Trucking Co., quits Keith’s Garage and returns to Gary’s Trucking Co retaining his original policies. </w:t>
      </w:r>
    </w:p>
    <w:p w:rsidR="00000000" w:rsidDel="00000000" w:rsidP="00000000" w:rsidRDefault="00000000" w:rsidRPr="00000000" w14:paraId="0000004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Account_Member which is the Account-Customer junction has a StartDate/EndDate column that gives you the 13 month history. Since Shannon belongs to more than one account it is effectively a n:n relationship. Thus it is supported.</w:t>
      </w:r>
    </w:p>
    <w:p w:rsidR="00000000" w:rsidDel="00000000" w:rsidP="00000000" w:rsidRDefault="00000000" w:rsidRPr="00000000" w14:paraId="0000004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AccountAlias </w:t>
      </w:r>
    </w:p>
    <w:p w:rsidR="00000000" w:rsidDel="00000000" w:rsidP="00000000" w:rsidRDefault="00000000" w:rsidRPr="00000000" w14:paraId="0000004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As GroupMaster Columbus, GroupMaster New York, and Flex information is consolidated into the Account table. A decision / data survival tree is applied in the ETL / data cleansing layer. Original entries, in their original state, is recorded in the AccountAlias table for manual review in the APB system. </w:t>
      </w:r>
    </w:p>
    <w:p w:rsidR="00000000" w:rsidDel="00000000" w:rsidP="00000000" w:rsidRDefault="00000000" w:rsidRPr="00000000" w14:paraId="00000045">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Gene’s Auto Parts, located in New Jersey, has GroupMaster Columbus information for Life products, GroupMaster New York information for A&amp;H products, and Flex information for an FSA account. After consolidation into the Account table, 3 three records exist in the AccountAlias table with each original record. </w:t>
      </w:r>
    </w:p>
    <w:p w:rsidR="00000000" w:rsidDel="00000000" w:rsidP="00000000" w:rsidRDefault="00000000" w:rsidRPr="00000000" w14:paraId="00000046">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duplicate GroupMaster Columbus entry for Gene’s Auto Parts was detected and is consolidated into the Account table and 1 record is placed in the AccountAlias table with the duplicate GroupMaster Columbus entry. </w:t>
      </w:r>
    </w:p>
    <w:p w:rsidR="00000000" w:rsidDel="00000000" w:rsidP="00000000" w:rsidRDefault="00000000" w:rsidRPr="00000000" w14:paraId="0000004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When the GroupMaster records are consolidated into one account row the originals are preserved for manual review in AccountLegacyAlias keyed by surviving account and AliasSource/AliasID. Thus it is supported.</w:t>
      </w:r>
    </w:p>
    <w:p w:rsidR="00000000" w:rsidDel="00000000" w:rsidP="00000000" w:rsidRDefault="00000000" w:rsidRPr="00000000" w14:paraId="0000004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Account (CompanyCode as part of the logical primary key)  </w:t>
      </w:r>
    </w:p>
    <w:p w:rsidR="00000000" w:rsidDel="00000000" w:rsidP="00000000" w:rsidRDefault="00000000" w:rsidRPr="00000000" w14:paraId="0000004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There IS a legitimate reason for: Two XYZ Corp.’s at 123 Main St., Albany, NY 12345 if one is a Columbus-based group and one is a NY-based group. There is NOT a legitimate reason for: Two XYZ Corp.’s at 123 Main St., Albany, NY 12345 if they are BOTH Columbus-based groups or BOTH are NY-based groups. </w:t>
      </w:r>
    </w:p>
    <w:p w:rsidR="00000000" w:rsidDel="00000000" w:rsidP="00000000" w:rsidRDefault="00000000" w:rsidRPr="00000000" w14:paraId="0000004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Two XYZ Corps at the same address are legitimately different only  if one is Columbus based and the other is NY based. Thus to this effect the CompanyCode is part of Account-h’s composite key since address + CompanyCode can uniquely identify an account. Thus it is supported.</w:t>
      </w:r>
    </w:p>
    <w:p w:rsidR="00000000" w:rsidDel="00000000" w:rsidP="00000000" w:rsidRDefault="00000000" w:rsidRPr="00000000" w14:paraId="0000004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Account (n..n) ManagerContract  </w:t>
      </w:r>
    </w:p>
    <w:p w:rsidR="00000000" w:rsidDel="00000000" w:rsidP="00000000" w:rsidRDefault="00000000" w:rsidRPr="00000000" w14:paraId="0000004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One company Associate, using a particular SitCode (aka. ManagerContract) of a particular writing number, sells to and services many Accounts. One Account can have an Original Servicing Associate, Servicing Associate, and Assisting Associate, Broker, etc. </w:t>
      </w:r>
    </w:p>
    <w:p w:rsidR="00000000" w:rsidDel="00000000" w:rsidP="00000000" w:rsidRDefault="00000000" w:rsidRPr="00000000" w14:paraId="0000005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One associate's SitCode services many accounts, and one account has several associates in different roles. Account_Associate resolves the n:n relationship and because Role is part of its key the same account can carry the same associate in more than one role, or several associates simultaneously. Thus it is supported.</w:t>
      </w:r>
    </w:p>
    <w:p w:rsidR="00000000" w:rsidDel="00000000" w:rsidP="00000000" w:rsidRDefault="00000000" w:rsidRPr="00000000" w14:paraId="0000005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Associate (1..n) ManagerContract  </w:t>
      </w:r>
    </w:p>
    <w:p w:rsidR="00000000" w:rsidDel="00000000" w:rsidP="00000000" w:rsidRDefault="00000000" w:rsidRPr="00000000" w14:paraId="0000005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One company Associate has many Writing Number authorized through an Insurance license granted by a particular US State DOI. Each of a company Associate’s many Writing Numbers has many SitCodes (aka. ManagerContracts) that the Associate maintains and uses to write new business. An Associate’s SitCode0 represents that Associate’s formal reporting chain within the company (i.e. that Associate’s DSC, RSC, etc.). All other SitCodes represent ‘side deals’ that Associate makes on write business outside that Associate’s SitCode0’s jurisdiction.</w:t>
      </w:r>
    </w:p>
    <w:p w:rsidR="00000000" w:rsidDel="00000000" w:rsidP="00000000" w:rsidRDefault="00000000" w:rsidRPr="00000000" w14:paraId="0000005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Keith is an Associate with Cliff / Rob / David / Gerald as is official DSC / RSC / SSC / TD. David’s state operation is the state of GA. Keith makes a side deal with Jim, in AL, to write business in AL where Keith is licensed to sell. Keith creates a SitCodeA for himself with Jim / Ken / Pat / Gerald as uplines. </w:t>
      </w:r>
    </w:p>
    <w:p w:rsidR="00000000" w:rsidDel="00000000" w:rsidP="00000000" w:rsidRDefault="00000000" w:rsidRPr="00000000" w14:paraId="0000005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This was amended by adding a SitCodeSequence attribute since for example Keith has many SitCodes, his SitCode0 has different upline chains. The amendment was made to distinguish the different SitCodes, where sequence 0 denotes the associate’s formal chain, SitCode0, and the numbers 1,2,3 denote the side deals.  Thus it is supported by the SitCodeSequence amendment.</w:t>
      </w:r>
    </w:p>
    <w:p w:rsidR="00000000" w:rsidDel="00000000" w:rsidP="00000000" w:rsidRDefault="00000000" w:rsidRPr="00000000" w14:paraId="0000005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Associate Commissions vs. Production Credit  </w:t>
      </w:r>
    </w:p>
    <w:p w:rsidR="00000000" w:rsidDel="00000000" w:rsidP="00000000" w:rsidRDefault="00000000" w:rsidRPr="00000000" w14:paraId="0000005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All Contract Premiums that an Associate sold/maintains is accounted for, by the company, in two distinct manners: </w:t>
      </w:r>
    </w:p>
    <w:p w:rsidR="00000000" w:rsidDel="00000000" w:rsidP="00000000" w:rsidRDefault="00000000" w:rsidRPr="00000000" w14:paraId="0000005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Commissions: This accounting allows for the correct issuance of commission checks to the Associates and up-lines for the policies that they have sold or are maintaining. These premiums relate to the writing Associate’s SitCode chain. </w:t>
      </w:r>
    </w:p>
    <w:p w:rsidR="00000000" w:rsidDel="00000000" w:rsidP="00000000" w:rsidRDefault="00000000" w:rsidRPr="00000000" w14:paraId="0000005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Production Credit: This accounting allows for the correct scoring of contests for the Associates for the policies that they have sold or are maintaining. These premiums relate to the writing Associate’s geographical hierarchy.</w:t>
      </w:r>
    </w:p>
    <w:p w:rsidR="00000000" w:rsidDel="00000000" w:rsidP="00000000" w:rsidRDefault="00000000" w:rsidRPr="00000000" w14:paraId="0000005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The two hierarchy design handles this, every premium routes to Premium_MgmtContract(SitCode chain) for commission checks and to CoordPosition_ProductionAsset(Geographic chain) for contest scoring. Thus it is supported.</w:t>
      </w:r>
    </w:p>
    <w:p w:rsidR="00000000" w:rsidDel="00000000" w:rsidP="00000000" w:rsidRDefault="00000000" w:rsidRPr="00000000" w14:paraId="0000005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Associate (n..n) Associate  </w:t>
      </w:r>
    </w:p>
    <w:p w:rsidR="00000000" w:rsidDel="00000000" w:rsidP="00000000" w:rsidRDefault="00000000" w:rsidRPr="00000000" w14:paraId="0000005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Associate Broker Associate Recruiter </w:t>
      </w:r>
    </w:p>
    <w:p w:rsidR="00000000" w:rsidDel="00000000" w:rsidP="00000000" w:rsidRDefault="00000000" w:rsidRPr="00000000" w14:paraId="0000005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The relationship between two associates is handled by the AssocRelation that is a self referencing junction with RelationType in its key so the same pair can have both relationships at once. Thus it is supported.</w:t>
      </w:r>
    </w:p>
    <w:p w:rsidR="00000000" w:rsidDel="00000000" w:rsidP="00000000" w:rsidRDefault="00000000" w:rsidRPr="00000000" w14:paraId="0000006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Contract (1..n, 1..n) ContractPremium   </w:t>
      </w:r>
    </w:p>
    <w:p w:rsidR="00000000" w:rsidDel="00000000" w:rsidP="00000000" w:rsidRDefault="00000000" w:rsidRPr="00000000" w14:paraId="0000006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One Contract has multiple benefits and each benefit has multiple Premiums. </w:t>
      </w:r>
    </w:p>
    <w:p w:rsidR="00000000" w:rsidDel="00000000" w:rsidP="00000000" w:rsidRDefault="00000000" w:rsidRPr="00000000" w14:paraId="0000006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Year 1: John sells Keith, a bachelor, a company policy with no other options. </w:t>
      </w:r>
    </w:p>
    <w:p w:rsidR="00000000" w:rsidDel="00000000" w:rsidP="00000000" w:rsidRDefault="00000000" w:rsidRPr="00000000" w14:paraId="0000006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Year 2: John moves to a new area, Luis takes over John’s area and Keith gets married. Luis sells Keith a company policy for Keith’s new wife on his existing policy. </w:t>
      </w:r>
    </w:p>
    <w:p w:rsidR="00000000" w:rsidDel="00000000" w:rsidP="00000000" w:rsidRDefault="00000000" w:rsidRPr="00000000" w14:paraId="0000006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Year 3: Luis moves to a new area, Adi takes over Luis’ area and Keith has twins. Adi sells Keith a company policy for Keith’s new children on his existing policy. </w:t>
      </w:r>
    </w:p>
    <w:p w:rsidR="00000000" w:rsidDel="00000000" w:rsidP="00000000" w:rsidRDefault="00000000" w:rsidRPr="00000000" w14:paraId="0000006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One Contract-h accumulates many ContractBenefit rows and each of them with many ContractPremium rows. Thus the three years of hand offs and changes can be supported by Per premium associate attribution via Premium_MgmtContract. Thus it is supported.</w:t>
      </w:r>
    </w:p>
    <w:p w:rsidR="00000000" w:rsidDel="00000000" w:rsidP="00000000" w:rsidRDefault="00000000" w:rsidRPr="00000000" w14:paraId="0000006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Customer (n..n) Customer   </w:t>
      </w:r>
    </w:p>
    <w:p w:rsidR="00000000" w:rsidDel="00000000" w:rsidP="00000000" w:rsidRDefault="00000000" w:rsidRPr="00000000" w14:paraId="0000006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Daddy Warbucks gets a health insurance policy for his son and family. He sets up his trust fund to fund the policy. He also gets the dread disease rider, but for his son only. </w:t>
      </w:r>
    </w:p>
    <w:p w:rsidR="00000000" w:rsidDel="00000000" w:rsidP="00000000" w:rsidRDefault="00000000" w:rsidRPr="00000000" w14:paraId="0000006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CustomerRelation is a self referencing junction which has RelationToCustomer in the key so the pair can hold more than one relationship. The trust is a Customer through its TIN. Thus it is supported.</w:t>
      </w:r>
    </w:p>
    <w:p w:rsidR="00000000" w:rsidDel="00000000" w:rsidP="00000000" w:rsidRDefault="00000000" w:rsidRPr="00000000" w14:paraId="0000006D">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Customer (n..n) Contract   </w:t>
      </w:r>
    </w:p>
    <w:p w:rsidR="00000000" w:rsidDel="00000000" w:rsidP="00000000" w:rsidRDefault="00000000" w:rsidRPr="00000000" w14:paraId="0000006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Daddy Warbucks gets a health insurance policy for his son and family, so he is the policy owner. He sets up his trust fund to fund the policy, so the trust is the policy payer. Daddy also has a life policy for himself. </w:t>
      </w:r>
    </w:p>
    <w:p w:rsidR="00000000" w:rsidDel="00000000" w:rsidP="00000000" w:rsidRDefault="00000000" w:rsidRPr="00000000" w14:paraId="0000006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ContractingPartyInRole uses Role from the ContractingPartyRole lookup that helps distinguish between owner and payer and the trust participates since it is a customer through its TIN. Thus it is supported</w:t>
      </w:r>
    </w:p>
    <w:p w:rsidR="00000000" w:rsidDel="00000000" w:rsidP="00000000" w:rsidRDefault="00000000" w:rsidRPr="00000000" w14:paraId="0000007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Customer (n..n) ContractBenefit   </w:t>
      </w:r>
    </w:p>
    <w:p w:rsidR="00000000" w:rsidDel="00000000" w:rsidP="00000000" w:rsidRDefault="00000000" w:rsidRPr="00000000" w14:paraId="0000007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Daddy Warbucks’ health insurance policy for his son and family, so the son and family are the beneficiaries of the policy. His son also carries the company’s accident insurance for him and his family. </w:t>
      </w:r>
    </w:p>
    <w:p w:rsidR="00000000" w:rsidDel="00000000" w:rsidP="00000000" w:rsidRDefault="00000000" w:rsidRPr="00000000" w14:paraId="0000007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BenefitForBenefitingParty links a customer to a specific benefit/rider so different customers can benefit from different riders on the same policy. Thus it is supported.</w:t>
      </w:r>
    </w:p>
    <w:p w:rsidR="00000000" w:rsidDel="00000000" w:rsidP="00000000" w:rsidRDefault="00000000" w:rsidRPr="00000000" w14:paraId="0000007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Customer (n..n) Account   </w:t>
      </w:r>
    </w:p>
    <w:p w:rsidR="00000000" w:rsidDel="00000000" w:rsidP="00000000" w:rsidRDefault="00000000" w:rsidRPr="00000000" w14:paraId="0000007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Dana’s Dry Cleaning has many employees, including Keith. Keith can work at Dana’s Dry Cleaning and moonlight at Scott’s Garage. </w:t>
      </w:r>
    </w:p>
    <w:p w:rsidR="00000000" w:rsidDel="00000000" w:rsidP="00000000" w:rsidRDefault="00000000" w:rsidRPr="00000000" w14:paraId="0000007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Account_Member is the Account-Customer junction that allows a customer to be part of more than one account. Thus it is supported.</w:t>
      </w:r>
    </w:p>
    <w:p w:rsidR="00000000" w:rsidDel="00000000" w:rsidP="00000000" w:rsidRDefault="00000000" w:rsidRPr="00000000" w14:paraId="0000007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numPr>
          <w:ilvl w:val="1"/>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Case: Customer (n..n) Associate   </w:t>
      </w:r>
    </w:p>
    <w:p w:rsidR="00000000" w:rsidDel="00000000" w:rsidP="00000000" w:rsidRDefault="00000000" w:rsidRPr="00000000" w14:paraId="0000007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Scenario:</w:t>
      </w:r>
      <w:r w:rsidDel="00000000" w:rsidR="00000000" w:rsidRPr="00000000">
        <w:rPr>
          <w:rFonts w:ascii="Times New Roman" w:cs="Times New Roman" w:eastAsia="Times New Roman" w:hAnsi="Times New Roman"/>
          <w:rtl w:val="0"/>
        </w:rPr>
        <w:t xml:space="preserve"> Walt, a long-standing sales associate of the company, passes away bequeathing his commissions to his wife and son. Dave, another long-standing company sales associate and friend of Walt’s family, also passes away bequeathing his commissions to Walt’s son. </w:t>
      </w:r>
    </w:p>
    <w:p w:rsidR="00000000" w:rsidDel="00000000" w:rsidP="00000000" w:rsidRDefault="00000000" w:rsidRPr="00000000" w14:paraId="0000007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Verification:</w:t>
      </w:r>
      <w:r w:rsidDel="00000000" w:rsidR="00000000" w:rsidRPr="00000000">
        <w:rPr>
          <w:rFonts w:ascii="Times New Roman" w:cs="Times New Roman" w:eastAsia="Times New Roman" w:hAnsi="Times New Roman"/>
          <w:rtl w:val="0"/>
        </w:rPr>
        <w:t xml:space="preserve"> No junction seemed to exist for a n:n connection between Customer and Associate and thus, AssociateBeneficiary was created. AssociateBeneficiary is an associative entity keyed on both the associates and customers identities with BeneficiaryType, SharePercentage and EffectiveDate so that a single associates commission can be split amongst beneficiaries and a single customer can be a beneficiary of multiple associates. Thus it is now supported by AssociateBeneficiary.</w:t>
      </w:r>
    </w:p>
    <w:p w:rsidR="00000000" w:rsidDel="00000000" w:rsidP="00000000" w:rsidRDefault="00000000" w:rsidRPr="00000000" w14:paraId="0000007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 Amendments</w:t>
      </w:r>
    </w:p>
    <w:p w:rsidR="00000000" w:rsidDel="00000000" w:rsidP="00000000" w:rsidRDefault="00000000" w:rsidRPr="00000000" w14:paraId="0000008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SitCodeSequence</w:t>
      </w:r>
    </w:p>
    <w:p w:rsidR="00000000" w:rsidDel="00000000" w:rsidP="00000000" w:rsidRDefault="00000000" w:rsidRPr="00000000" w14:paraId="00000081">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 attribute named SitCodeSequence was added to ManagerContract where sequence 0 denotes the associate’s formal chain, SitCode0, and the numbers 1,2,3 denote the side deals, this mirrors the case’s vocabulary.</w:t>
      </w:r>
    </w:p>
    <w:p w:rsidR="00000000" w:rsidDel="00000000" w:rsidP="00000000" w:rsidRDefault="00000000" w:rsidRPr="00000000" w14:paraId="0000008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AssociateBeneficiary</w:t>
      </w:r>
    </w:p>
    <w:p w:rsidR="00000000" w:rsidDel="00000000" w:rsidP="00000000" w:rsidRDefault="00000000" w:rsidRPr="00000000" w14:paraId="0000008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AssociateBeneficiary is an associative entity keyed on both the associates and customers identities with BeneficiaryType, SharePercentage and EffectiveDate so that a single associates commission can be split amongst beneficiaries and a single customer can be a beneficiary of multiple associates.</w:t>
      </w:r>
    </w:p>
    <w:p w:rsidR="00000000" w:rsidDel="00000000" w:rsidP="00000000" w:rsidRDefault="00000000" w:rsidRPr="00000000" w14:paraId="0000008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Composite Keys</w:t>
      </w:r>
    </w:p>
    <w:p w:rsidR="00000000" w:rsidDel="00000000" w:rsidP="00000000" w:rsidRDefault="00000000" w:rsidRPr="00000000" w14:paraId="00000085">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Some composite keys were inferred from foreign key usage as they were not present in the blueprint.</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 Conclusion</w:t>
      </w:r>
    </w:p>
    <w:p w:rsidR="00000000" w:rsidDel="00000000" w:rsidP="00000000" w:rsidRDefault="00000000" w:rsidRPr="00000000" w14:paraId="0000008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 followed the blueprint as closely as possible, one of the issues stemming from this is that identifying relationships are maintained across deep hierarchies with primary keys cascading downwards creating large multi column composite keys that would create performance issues thus for practical implementation a surrogate key should be used. </w:t>
      </w:r>
    </w:p>
    <w:p w:rsidR="00000000" w:rsidDel="00000000" w:rsidP="00000000" w:rsidRDefault="00000000" w:rsidRPr="00000000" w14:paraId="0000008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9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