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48"/>
        <w:gridCol w:w="7374"/>
      </w:tblGrid>
      <w:tr w14:paraId="2B558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8" w:type="dxa"/>
          </w:tcPr>
          <w:p w14:paraId="22D8AAE4">
            <w:pPr>
              <w:jc w:val="center"/>
              <w:rPr>
                <w:rFonts w:hint="eastAsia" w:ascii="黑体" w:hAnsi="黑体" w:eastAsia="黑体" w:cs="黑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  <w:vertAlign w:val="baseline"/>
                <w:lang w:val="en-US" w:eastAsia="zh-CN"/>
              </w:rPr>
              <w:t>模块</w:t>
            </w:r>
          </w:p>
        </w:tc>
        <w:tc>
          <w:tcPr>
            <w:tcW w:w="7374" w:type="dxa"/>
          </w:tcPr>
          <w:p w14:paraId="57235E3C">
            <w:pPr>
              <w:jc w:val="center"/>
              <w:rPr>
                <w:rFonts w:hint="eastAsia" w:ascii="黑体" w:hAnsi="黑体" w:eastAsia="黑体" w:cs="黑体"/>
                <w:sz w:val="22"/>
                <w:szCs w:val="28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 w:cs="黑体"/>
                <w:sz w:val="22"/>
                <w:szCs w:val="28"/>
                <w:vertAlign w:val="baseline"/>
                <w:lang w:val="en-US" w:eastAsia="zh-CN"/>
              </w:rPr>
              <w:t>内容</w:t>
            </w:r>
          </w:p>
        </w:tc>
      </w:tr>
      <w:tr w14:paraId="0F3B5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8" w:type="dxa"/>
          </w:tcPr>
          <w:p w14:paraId="70D3DED0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客户细分</w:t>
            </w:r>
          </w:p>
        </w:tc>
        <w:tc>
          <w:tcPr>
            <w:tcW w:w="7374" w:type="dxa"/>
          </w:tcPr>
          <w:p w14:paraId="3CE55F6A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①术后康复患者</w:t>
            </w:r>
            <w:r>
              <w:rPr>
                <w:rFonts w:hint="eastAsia" w:ascii="黑体" w:hAnsi="黑体" w:eastAsia="黑体" w:cs="黑体"/>
                <w:sz w:val="22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 w:cs="黑体"/>
                <w:sz w:val="22"/>
                <w:szCs w:val="28"/>
              </w:rPr>
              <w:t>②轻症患者（感冒、皮肤炎症、轻度烫伤）③主要照护家属（25-45岁子女/配偶）④B端：保险公司、药企、社区卫生服务中心</w:t>
            </w:r>
          </w:p>
        </w:tc>
      </w:tr>
      <w:tr w14:paraId="3C7E7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8" w:type="dxa"/>
          </w:tcPr>
          <w:p w14:paraId="737D5228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价值主张</w:t>
            </w:r>
          </w:p>
        </w:tc>
        <w:tc>
          <w:tcPr>
            <w:tcW w:w="7374" w:type="dxa"/>
          </w:tcPr>
          <w:p w14:paraId="26CEA9DC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让患者"少跑医院、少花冤枉钱"，让家属"不焦虑、不盲目"；</w:t>
            </w:r>
            <w:r>
              <w:rPr>
                <w:rFonts w:hint="eastAsia" w:ascii="黑体" w:hAnsi="黑体" w:eastAsia="黑体" w:cs="黑体"/>
                <w:sz w:val="22"/>
                <w:szCs w:val="28"/>
                <w:lang w:val="en-US" w:eastAsia="zh-CN"/>
              </w:rPr>
              <w:t>提供</w:t>
            </w:r>
            <w:r>
              <w:rPr>
                <w:rFonts w:hint="eastAsia" w:ascii="黑体" w:hAnsi="黑体" w:eastAsia="黑体" w:cs="黑体"/>
                <w:sz w:val="22"/>
                <w:szCs w:val="28"/>
              </w:rPr>
              <w:t>护理决策+精准产品推荐，把"不确定的居家护理"变成"有依据的标准化操作</w:t>
            </w:r>
          </w:p>
        </w:tc>
      </w:tr>
      <w:tr w14:paraId="2D6E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8" w:type="dxa"/>
          </w:tcPr>
          <w:p w14:paraId="164732BA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渠道通路</w:t>
            </w:r>
          </w:p>
        </w:tc>
        <w:tc>
          <w:tcPr>
            <w:tcW w:w="7374" w:type="dxa"/>
          </w:tcPr>
          <w:p w14:paraId="26823EE9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医院出院随访场景、妈妈群裂变、小红书/抖音健康内容引流</w:t>
            </w:r>
          </w:p>
        </w:tc>
      </w:tr>
      <w:tr w14:paraId="0C4C4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8" w:type="dxa"/>
          </w:tcPr>
          <w:p w14:paraId="65D3B1E2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客户关系</w:t>
            </w:r>
          </w:p>
        </w:tc>
        <w:tc>
          <w:tcPr>
            <w:tcW w:w="7374" w:type="dxa"/>
          </w:tcPr>
          <w:p w14:paraId="0E7ED00E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智能助手7×24自助服务 + 社群运营（康复打卡群</w:t>
            </w:r>
            <w:r>
              <w:rPr>
                <w:rFonts w:hint="eastAsia" w:ascii="黑体" w:hAnsi="黑体" w:eastAsia="黑体" w:cs="黑体"/>
                <w:sz w:val="22"/>
                <w:szCs w:val="28"/>
                <w:lang w:val="en-US" w:eastAsia="zh-CN"/>
              </w:rPr>
              <w:t>)</w:t>
            </w:r>
          </w:p>
        </w:tc>
      </w:tr>
      <w:tr w14:paraId="3906D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8" w:type="dxa"/>
          </w:tcPr>
          <w:p w14:paraId="4304A187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收入来源</w:t>
            </w:r>
          </w:p>
        </w:tc>
        <w:tc>
          <w:tcPr>
            <w:tcW w:w="7374" w:type="dxa"/>
          </w:tcPr>
          <w:p w14:paraId="307EBFBE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C端：基础免费+深度方案月费19.9元+家庭会员年费199元；交易：产品推荐CPS佣金8-15%</w:t>
            </w:r>
            <w:r>
              <w:rPr>
                <w:rFonts w:hint="eastAsia" w:ascii="黑体" w:hAnsi="黑体" w:eastAsia="黑体" w:cs="黑体"/>
                <w:sz w:val="22"/>
                <w:szCs w:val="28"/>
              </w:rPr>
              <w:tab/>
            </w:r>
          </w:p>
        </w:tc>
      </w:tr>
      <w:tr w14:paraId="6FB0B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8" w:type="dxa"/>
          </w:tcPr>
          <w:p w14:paraId="4F9D1443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关键业务</w:t>
            </w:r>
          </w:p>
        </w:tc>
        <w:tc>
          <w:tcPr>
            <w:tcW w:w="7374" w:type="dxa"/>
          </w:tcPr>
          <w:p w14:paraId="2CF2C9ED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医疗知识库构建与审核、产品供应链筛选与对接、医院渠道拓展、用户健康数据沉淀</w:t>
            </w:r>
          </w:p>
        </w:tc>
      </w:tr>
      <w:tr w14:paraId="6F46F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8" w:type="dxa"/>
          </w:tcPr>
          <w:p w14:paraId="793456B0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核心资源</w:t>
            </w:r>
          </w:p>
        </w:tc>
        <w:tc>
          <w:tcPr>
            <w:tcW w:w="7374" w:type="dxa"/>
          </w:tcPr>
          <w:p w14:paraId="078BDF1C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结构化医疗知识库（壁垒）、真实康复用户数据</w:t>
            </w:r>
          </w:p>
        </w:tc>
      </w:tr>
      <w:tr w14:paraId="0E817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8" w:type="dxa"/>
          </w:tcPr>
          <w:p w14:paraId="3A8951D6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重要伙伴</w:t>
            </w:r>
          </w:p>
        </w:tc>
        <w:tc>
          <w:tcPr>
            <w:tcW w:w="7374" w:type="dxa"/>
          </w:tcPr>
          <w:p w14:paraId="7EEB01A4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合作医院康复科、医疗器械/OTC品牌商、保险公司（健康险场景）</w:t>
            </w:r>
          </w:p>
        </w:tc>
      </w:tr>
      <w:tr w14:paraId="7D7D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8" w:type="dxa"/>
          </w:tcPr>
          <w:p w14:paraId="116398FD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成本结构</w:t>
            </w:r>
          </w:p>
        </w:tc>
        <w:tc>
          <w:tcPr>
            <w:tcW w:w="7374" w:type="dxa"/>
          </w:tcPr>
          <w:p w14:paraId="1235C70F">
            <w:pPr>
              <w:rPr>
                <w:rFonts w:hint="eastAsia" w:ascii="黑体" w:hAnsi="黑体" w:eastAsia="黑体" w:cs="黑体"/>
                <w:sz w:val="22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2"/>
                <w:szCs w:val="28"/>
              </w:rPr>
              <w:t>医疗内容审核成本、技术研发、获客营销、运营与客服、管理及其他</w:t>
            </w:r>
            <w:r>
              <w:rPr>
                <w:rFonts w:hint="eastAsia" w:ascii="黑体" w:hAnsi="黑体" w:eastAsia="黑体" w:cs="黑体"/>
                <w:sz w:val="22"/>
                <w:szCs w:val="28"/>
              </w:rPr>
              <w:tab/>
            </w:r>
          </w:p>
        </w:tc>
      </w:tr>
    </w:tbl>
    <w:p w14:paraId="2A938B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57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2026-05-12T14:21:57Z</dcterms:created>
  <dc:creator>35898</dc:creator>
  <cp:lastModifiedBy>WPS_1643257580</cp:lastModifiedBy>
  <dcterms:modified xsi:type="dcterms:W3CDTF">2026-05-12T14:28:48Z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eyJoZGlkIjoiMDljYzUzMWQ4OWI0YzBkYjYzMDRhZTY5ZjZkYmFmYTgiLCJ1c2VySWQiOiIxMzIzMTY1MTEzIn0=</vt:lpwstr>
  </property>
  <property fmtid="{D5CDD505-2E9C-101B-9397-08002B2CF9AE}" pid="4" name="ICV">
    <vt:lpwstr>B7E9A4D556FA4A23B29B48C203782003_12</vt:lpwstr>
  </property>
</Properties>
</file>