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40" w:before="0"/>
        <w:jc w:val="center"/>
      </w:pPr>
      <w:r>
        <w:rPr>
          <w:rFonts w:ascii="Arial" w:cs="Arial" w:eastAsia="Arial" w:hAnsi="Arial"/>
          <w:b/>
          <w:bCs/>
          <w:color w:val="1F4E79"/>
          <w:sz w:val="64"/>
          <w:szCs w:val="64"/>
        </w:rPr>
        <w:t xml:space="preserve">HB Intel Platform</w:t>
      </w:r>
    </w:p>
    <w:p>
      <w:pPr>
        <w:spacing w:after="120" w:before="0"/>
        <w:jc w:val="center"/>
      </w:pPr>
      <w:r>
        <w:rPr>
          <w:rFonts w:ascii="Arial" w:cs="Arial" w:eastAsia="Arial" w:hAnsi="Arial"/>
          <w:b/>
          <w:bCs/>
          <w:color w:val="2E75B6"/>
          <w:sz w:val="52"/>
          <w:szCs w:val="52"/>
        </w:rPr>
        <w:t xml:space="preserve">Architecture Audit Report</w:t>
      </w:r>
    </w:p>
    <w:p>
      <w:pPr>
        <w:spacing w:after="120" w:before="120"/>
        <w:jc w:val="center"/>
      </w:pPr>
      <w:r>
        <w:rPr>
          <w:rFonts w:ascii="Arial" w:cs="Arial" w:eastAsia="Arial" w:hAnsi="Arial"/>
          <w:color w:val="C55A11"/>
          <w:sz w:val="24"/>
          <w:szCs w:val="24"/>
        </w:rPr>
        <w:t xml:space="preserve">Target: SharePoint-First MVP  →  Azure Storage Long-Term Architecture</w:t>
      </w:r>
    </w:p>
    <w:p>
      <w:pPr>
        <w:spacing w:after="0" w:before="240"/>
      </w:pPr>
      <w:r>
        <w:t xml:space="preserve"/>
      </w:r>
    </w:p>
    <w:p>
      <w:pPr>
        <w:spacing w:after="80" w:before="0"/>
        <w:jc w:val="center"/>
      </w:pPr>
      <w:r>
        <w:rPr>
          <w:rFonts w:ascii="Arial" w:cs="Arial" w:eastAsia="Arial" w:hAnsi="Arial"/>
          <w:color w:val="404040"/>
          <w:sz w:val="22"/>
          <w:szCs w:val="22"/>
        </w:rPr>
        <w:t xml:space="preserve">Audit Date: March 20, 2026</w:t>
      </w:r>
    </w:p>
    <w:p>
      <w:pPr>
        <w:spacing w:after="80" w:before="0"/>
        <w:jc w:val="center"/>
      </w:pPr>
      <w:r>
        <w:rPr>
          <w:rFonts w:ascii="Arial" w:cs="Arial" w:eastAsia="Arial" w:hAnsi="Arial"/>
          <w:color w:val="404040"/>
          <w:sz w:val="22"/>
          <w:szCs w:val="22"/>
        </w:rPr>
        <w:t xml:space="preserve">Scope: Read-Only  |  Evidence-Based  |  No Code Changes</w:t>
      </w:r>
    </w:p>
    <w:p>
      <w:pPr>
        <w:spacing w:after="80" w:before="0"/>
        <w:jc w:val="center"/>
      </w:pPr>
      <w:r>
        <w:rPr>
          <w:rFonts w:ascii="Arial" w:cs="Arial" w:eastAsia="Arial" w:hAnsi="Arial"/>
          <w:color w:val="404040"/>
          <w:sz w:val="22"/>
          <w:szCs w:val="22"/>
        </w:rPr>
        <w:t xml:space="preserve">Repository: hb-intel  |  Version: 0.0.38</w:t>
      </w:r>
    </w:p>
    <w:p>
      <w:r>
        <w:br w:type="page"/>
      </w:r>
    </w:p>
    <w:p>
      <w:pPr>
        <w:pStyle w:val="Heading1"/>
        <w:spacing w:after="12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sz w:val="20"/>
          <w:szCs w:val="20"/>
        </w:rPr>
        <w:t xml:space="preserve">This audit compares the current state of the HB Intel repository against the requirements of a staged target architecture: a SharePoint-first MVP for provisioning that preserves a clean migration path to Azure Cosmos DB for Table, Azure Blob Storage, and Queue Storage.</w:t>
      </w:r>
    </w:p>
    <w:p>
      <w:pPr>
        <w:spacing w:after="0" w:before="80"/>
      </w:pPr>
      <w:r>
        <w:t xml:space="preserve"/>
      </w:r>
    </w:p>
    <w:p>
      <w:pPr>
        <w:shd w:fill="DEEAF1" w:val="clear"/>
        <w:spacing w:after="80" w:before="80"/>
        <w:ind w:left="180" w:right="180"/>
      </w:pPr>
      <w:r>
        <w:rPr>
          <w:rFonts w:ascii="Arial" w:cs="Arial" w:eastAsia="Arial" w:hAnsi="Arial"/>
          <w:b/>
          <w:bCs/>
          <w:color w:val="1F4E79"/>
          <w:sz w:val="20"/>
          <w:szCs w:val="20"/>
        </w:rPr>
        <w:t xml:space="preserve">Overall Verdict: The proposed target architecture is VALID and well-matched to the actual codebase. The provisioning-first, SharePoint-backed MVP strategy is architecturally sound. The codebase is more thoughtfully designed than a typical MVP-phase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3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34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Readiness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SharePoint MVP Provisioning</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7-step saga implemented and production-grade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Migration</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@azure/data-tables v13.3.2 already in use; SDK is binary-compatible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READINESS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Host Storage Isolation</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connection strings appear to map to same account in local config; production topology unverified</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GAP</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Migration Seam Quality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Domain models clean; adapter pattern strong; IProjectRequestsService lacks port interface</w:t>
            </w:r>
          </w:p>
        </w:tc>
        <w:tc>
          <w:tcPr>
            <w:tcW w:type="dxa" w:w="34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MOSTLY 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Blob Storage Boundary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blob SDK or reference model; template files correctly in SharePoint</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Queue / Async Messaging</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Queue Storage or Service Bus; timer polling + fire-and-forget; acceptable for MVP</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 Deployment Topology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Bicep, ARM, or Terraform in repository; infrastructure unverifiable</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Identity / Auth</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Managed Identity (ADR-0078), OIDC CI/CD, MSAL OBO all in place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Observability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 Insights integrated; custom provisioning events; no alert rules or dashboards</w:t>
            </w:r>
          </w:p>
        </w:tc>
        <w:tc>
          <w:tcPr>
            <w:tcW w:type="dxa" w:w="34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Strongest Alignment Points</w:t>
      </w:r>
    </w:p>
    <w:p>
      <w:pPr>
        <w:pStyle w:val="ListParagraph"/>
        <w:numPr>
          <w:ilvl w:val="0"/>
          <w:numId w:val="2"/>
        </w:numPr>
        <w:spacing w:after="40" w:before="40"/>
      </w:pPr>
      <w:r>
        <w:rPr>
          <w:rFonts w:ascii="Arial" w:cs="Arial" w:eastAsia="Arial" w:hAnsi="Arial"/>
          <w:sz w:val="20"/>
          <w:szCs w:val="20"/>
        </w:rPr>
        <w:t xml:space="preserve">The @azure/data-tables v13.3.2 SDK is already in use and is binary-compatible with Cosmos DB for Table. The migration is a connection-string swap with zero code changes required in the storage layer.</w:t>
      </w:r>
    </w:p>
    <w:p>
      <w:pPr>
        <w:pStyle w:val="ListParagraph"/>
        <w:numPr>
          <w:ilvl w:val="0"/>
          <w:numId w:val="2"/>
        </w:numPr>
        <w:spacing w:after="40" w:before="40"/>
      </w:pPr>
      <w:r>
        <w:rPr>
          <w:rFonts w:ascii="Arial" w:cs="Arial" w:eastAsia="Arial" w:hAnsi="Arial"/>
          <w:sz w:val="20"/>
          <w:szCs w:val="20"/>
        </w:rPr>
        <w:t xml:space="preserve">Domain models in @hbc/models are clean. No SharePoint ListItem IDs leak into canonical contracts. All entity identifiers are UUID-based, making them storage-agnostic by design.</w:t>
      </w:r>
    </w:p>
    <w:p>
      <w:pPr>
        <w:pStyle w:val="ListParagraph"/>
        <w:numPr>
          <w:ilvl w:val="0"/>
          <w:numId w:val="2"/>
        </w:numPr>
        <w:spacing w:after="40" w:before="40"/>
      </w:pPr>
      <w:r>
        <w:rPr>
          <w:rFonts w:ascii="Arial" w:cs="Arial" w:eastAsia="Arial" w:hAnsi="Arial"/>
          <w:sz w:val="20"/>
          <w:szCs w:val="20"/>
        </w:rPr>
        <w:t xml:space="preserve">The ports/adapters data-access pattern (ADR-0002) provides 11 clean swap points for storage migration across all frontend domain repositories.</w:t>
      </w:r>
    </w:p>
    <w:p>
      <w:pPr>
        <w:pStyle w:val="ListParagraph"/>
        <w:numPr>
          <w:ilvl w:val="0"/>
          <w:numId w:val="2"/>
        </w:numPr>
        <w:spacing w:after="40" w:before="40"/>
      </w:pPr>
      <w:r>
        <w:rPr>
          <w:rFonts w:ascii="Arial" w:cs="Arial" w:eastAsia="Arial" w:hAnsi="Arial"/>
          <w:sz w:val="20"/>
          <w:szCs w:val="20"/>
        </w:rPr>
        <w:t xml:space="preserve">Managed Identity (ADR-0078) and OIDC CI/CD are already in place, providing the correct identity foundation for production Azure resource access.</w:t>
      </w:r>
    </w:p>
    <w:p>
      <w:pPr>
        <w:pStyle w:val="ListParagraph"/>
        <w:numPr>
          <w:ilvl w:val="0"/>
          <w:numId w:val="2"/>
        </w:numPr>
        <w:spacing w:after="40" w:before="40"/>
      </w:pPr>
      <w:r>
        <w:rPr>
          <w:rFonts w:ascii="Arial" w:cs="Arial" w:eastAsia="Arial" w:hAnsi="Arial"/>
          <w:sz w:val="20"/>
          <w:szCs w:val="20"/>
        </w:rPr>
        <w:t xml:space="preserve">PartitionKey/RowKey design on the two existing Azure Tables is appropriate and maps well to Cosmos DB for Table access patterns.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Biggest Risks</w:t>
      </w:r>
    </w:p>
    <w:p>
      <w:pPr>
        <w:pStyle w:val="ListParagraph"/>
        <w:numPr>
          <w:ilvl w:val="0"/>
          <w:numId w:val="2"/>
        </w:numPr>
        <w:spacing w:after="40" w:before="40"/>
      </w:pPr>
      <w:r>
        <w:rPr>
          <w:rFonts w:ascii="Arial" w:cs="Arial" w:eastAsia="Arial" w:hAnsi="Arial"/>
          <w:b/>
          <w:bCs/>
          <w:sz w:val="20"/>
          <w:szCs w:val="20"/>
        </w:rPr>
        <w:t xml:space="preserve">Host storage isolation: </w:t>
      </w:r>
      <w:r>
        <w:rPr>
          <w:rFonts w:ascii="Arial" w:cs="Arial" w:eastAsia="Arial" w:hAnsi="Arial"/>
          <w:sz w:val="20"/>
          <w:szCs w:val="20"/>
        </w:rPr>
        <w:t xml:space="preserve">AzureWebJobsStorage and AZURE_STORAGE_CONNECTION_STRING both use UseDevelopmentStorage=true locally and both appear to resolve to the same Key Vault reference in production. If the same storage account serves both Functions host runtime and application data, lifecycle policies on application data can corrupt Functions host blobs (lock state, lease checkpoints). No IaC exists to verify or enforce separation.</w:t>
      </w:r>
    </w:p>
    <w:p>
      <w:pPr>
        <w:pStyle w:val="ListParagraph"/>
        <w:numPr>
          <w:ilvl w:val="0"/>
          <w:numId w:val="2"/>
        </w:numPr>
        <w:spacing w:after="40" w:before="40"/>
      </w:pPr>
      <w:r>
        <w:rPr>
          <w:rFonts w:ascii="Arial" w:cs="Arial" w:eastAsia="Arial" w:hAnsi="Arial"/>
          <w:b/>
          <w:bCs/>
          <w:sz w:val="20"/>
          <w:szCs w:val="20"/>
        </w:rPr>
        <w:t xml:space="preserve">No infrastructure-as-code: </w:t>
      </w:r>
      <w:r>
        <w:rPr>
          <w:rFonts w:ascii="Arial" w:cs="Arial" w:eastAsia="Arial" w:hAnsi="Arial"/>
          <w:sz w:val="20"/>
          <w:szCs w:val="20"/>
        </w:rPr>
        <w:t xml:space="preserve">The repository contains no Bicep, ARM, Terraform, or Pulumi files. The actual storage account topology, network rules, RBAC assignments, and resource configuration cannot be verified from the repository alone. This is the most significant operational risk.</w:t>
      </w:r>
    </w:p>
    <w:p>
      <w:pPr>
        <w:pStyle w:val="ListParagraph"/>
        <w:numPr>
          <w:ilvl w:val="0"/>
          <w:numId w:val="2"/>
        </w:numPr>
        <w:spacing w:after="40" w:before="40"/>
      </w:pPr>
      <w:r>
        <w:rPr>
          <w:rFonts w:ascii="Arial" w:cs="Arial" w:eastAsia="Arial" w:hAnsi="Arial"/>
          <w:b/>
          <w:bCs/>
          <w:sz w:val="20"/>
          <w:szCs w:val="20"/>
        </w:rPr>
        <w:t xml:space="preserve">IProjectRequestsService seam gap: </w:t>
      </w:r>
      <w:r>
        <w:rPr>
          <w:rFonts w:ascii="Arial" w:cs="Arial" w:eastAsia="Arial" w:hAnsi="Arial"/>
          <w:sz w:val="20"/>
          <w:szCs w:val="20"/>
        </w:rPr>
        <w:t xml:space="preserve">The project setup request lifecycle is implemented as a concrete SharePoint-backed service (RealProjectRequestsService) without a port interface. A SharePoint-to-Cosmos DB migration for project request data requires a service rewrite, not an adapter swap.</w:t>
      </w:r>
    </w:p>
    <w:p>
      <w:pPr>
        <w:pStyle w:val="ListParagraph"/>
        <w:numPr>
          <w:ilvl w:val="0"/>
          <w:numId w:val="2"/>
        </w:numPr>
        <w:spacing w:after="40" w:before="40"/>
      </w:pPr>
      <w:r>
        <w:rPr>
          <w:rFonts w:ascii="Arial" w:cs="Arial" w:eastAsia="Arial" w:hAnsi="Arial"/>
          <w:b/>
          <w:bCs/>
          <w:sz w:val="20"/>
          <w:szCs w:val="20"/>
        </w:rPr>
        <w:t xml:space="preserve">Cross-partition table scans: </w:t>
      </w:r>
      <w:r>
        <w:rPr>
          <w:rFonts w:ascii="Arial" w:cs="Arial" w:eastAsia="Arial" w:hAnsi="Arial"/>
          <w:sz w:val="20"/>
          <w:szCs w:val="20"/>
        </w:rPr>
        <w:t xml:space="preserve">listPendingStep5Jobs() and listFailedRuns() are cross-partition scans. Fine at MVP scale; structurally problematic as the provisioning request volume grows.</w:t>
      </w:r>
    </w:p>
    <w:p>
      <w:pPr>
        <w:pStyle w:val="ListParagraph"/>
        <w:numPr>
          <w:ilvl w:val="0"/>
          <w:numId w:val="2"/>
        </w:numPr>
        <w:spacing w:after="40" w:before="40"/>
      </w:pPr>
      <w:r>
        <w:rPr>
          <w:rFonts w:ascii="Arial" w:cs="Arial" w:eastAsia="Arial" w:hAnsi="Arial"/>
          <w:b/>
          <w:bCs/>
          <w:sz w:val="20"/>
          <w:szCs w:val="20"/>
        </w:rPr>
        <w:t xml:space="preserve">responseBodyJson entity size risk: </w:t>
      </w:r>
      <w:r>
        <w:rPr>
          <w:rFonts w:ascii="Arial" w:cs="Arial" w:eastAsia="Arial" w:hAnsi="Arial"/>
          <w:sz w:val="20"/>
          <w:szCs w:val="20"/>
        </w:rPr>
        <w:t xml:space="preserve">The IdempotencyRecords table stores full HTTP response bodies. For list-type operations, this could approach or exceed the 1 MiB Azure Table / Cosmos DB entity size limit.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Biggest Missing Preparation Items</w:t>
      </w:r>
    </w:p>
    <w:p>
      <w:pPr>
        <w:pStyle w:val="ListParagraph"/>
        <w:numPr>
          <w:ilvl w:val="0"/>
          <w:numId w:val="3"/>
        </w:numPr>
        <w:spacing w:after="40" w:before="40"/>
      </w:pPr>
      <w:r>
        <w:rPr>
          <w:rFonts w:ascii="Arial" w:cs="Arial" w:eastAsia="Arial" w:hAnsi="Arial"/>
          <w:sz w:val="20"/>
          <w:szCs w:val="20"/>
        </w:rPr>
        <w:t xml:space="preserve">Confirm and document production storage account topology. Provision separate host storage account if needed. Create IaC before adding lifecycle policies.</w:t>
      </w:r>
    </w:p>
    <w:p>
      <w:pPr>
        <w:pStyle w:val="ListParagraph"/>
        <w:numPr>
          <w:ilvl w:val="0"/>
          <w:numId w:val="3"/>
        </w:numPr>
        <w:spacing w:after="40" w:before="40"/>
      </w:pPr>
      <w:r>
        <w:rPr>
          <w:rFonts w:ascii="Arial" w:cs="Arial" w:eastAsia="Arial" w:hAnsi="Arial"/>
          <w:sz w:val="20"/>
          <w:szCs w:val="20"/>
        </w:rPr>
        <w:t xml:space="preserve">Extract IProjectRequestsRepository port interface from RealProjectRequestsService to create a clean, adapter-swappable migration seam for project request data.</w:t>
      </w:r>
    </w:p>
    <w:p>
      <w:pPr>
        <w:pStyle w:val="ListParagraph"/>
        <w:numPr>
          <w:ilvl w:val="0"/>
          <w:numId w:val="3"/>
        </w:numPr>
        <w:spacing w:after="40" w:before="40"/>
      </w:pPr>
      <w:r>
        <w:rPr>
          <w:rFonts w:ascii="Arial" w:cs="Arial" w:eastAsia="Arial" w:hAnsi="Arial"/>
          <w:sz w:val="20"/>
          <w:szCs w:val="20"/>
        </w:rPr>
        <w:t xml:space="preserve">Cap or truncate responseBodyJson in IdempotencyRecords to prevent entity size violations in Cosmos DB for Table (recommend: 32KB limit).</w:t>
      </w:r>
    </w:p>
    <w:p>
      <w:pPr>
        <w:pStyle w:val="ListParagraph"/>
        <w:numPr>
          <w:ilvl w:val="0"/>
          <w:numId w:val="3"/>
        </w:numPr>
        <w:spacing w:after="40" w:before="40"/>
      </w:pPr>
      <w:r>
        <w:rPr>
          <w:rFonts w:ascii="Arial" w:cs="Arial" w:eastAsia="Arial" w:hAnsi="Arial"/>
          <w:sz w:val="20"/>
          <w:szCs w:val="20"/>
        </w:rPr>
        <w:t xml:space="preserve">Create IaC definitions (Bicep preferred) covering all Azure resources: Function App, storage accounts (x2), Cosmos DB for Table, SignalR, Application Insights.</w:t>
      </w:r>
    </w:p>
    <w:p>
      <w:pPr>
        <w:pStyle w:val="ListParagraph"/>
        <w:numPr>
          <w:ilvl w:val="0"/>
          <w:numId w:val="3"/>
        </w:numPr>
        <w:spacing w:after="40" w:before="40"/>
      </w:pPr>
      <w:r>
        <w:rPr>
          <w:rFonts w:ascii="Arial" w:cs="Arial" w:eastAsia="Arial" w:hAnsi="Arial"/>
          <w:sz w:val="20"/>
          <w:szCs w:val="20"/>
        </w:rPr>
        <w:t xml:space="preserve">Define blob container model and blob reference pattern (table entity holds blob URI pointer) before file-handling workloads arrive.</w:t>
      </w:r>
    </w:p>
    <w:p>
      <w:r>
        <w:br w:type="page"/>
      </w:r>
    </w:p>
    <w:p>
      <w:pPr>
        <w:pStyle w:val="Heading1"/>
        <w:spacing w:after="120" w:before="360"/>
      </w:pPr>
      <w:r>
        <w:rPr>
          <w:rFonts w:ascii="Arial" w:cs="Arial" w:eastAsia="Arial" w:hAnsi="Arial"/>
          <w:b/>
          <w:bCs/>
          <w:color w:val="1F4E79"/>
          <w:sz w:val="32"/>
          <w:szCs w:val="32"/>
        </w:rPr>
        <w:t xml:space="preserve">2. Current Architecture Summary</w:t>
      </w:r>
    </w:p>
    <w:p>
      <w:pPr>
        <w:spacing w:after="80" w:before="60"/>
      </w:pPr>
      <w:r>
        <w:rPr>
          <w:rFonts w:ascii="Arial" w:cs="Arial" w:eastAsia="Arial" w:hAnsi="Arial"/>
          <w:sz w:val="20"/>
          <w:szCs w:val="20"/>
        </w:rPr>
        <w:t xml:space="preserve">This section describes the actual architecture found in the repository as of March 20, 2026. It distinguishes implemented truth, partial implementation, and plan-only intent.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2.1 Implemented Truth</w:t>
      </w:r>
    </w:p>
    <w:p>
      <w:pPr>
        <w:pStyle w:val="Heading3"/>
        <w:spacing w:after="60" w:before="200"/>
      </w:pPr>
      <w:r>
        <w:rPr>
          <w:rFonts w:ascii="Arial" w:cs="Arial" w:eastAsia="Arial" w:hAnsi="Arial"/>
          <w:b/>
          <w:bCs/>
          <w:color w:val="C55A11"/>
          <w:sz w:val="22"/>
          <w:szCs w:val="22"/>
        </w:rPr>
        <w:t xml:space="preserve">Backend / Azure Functions</w:t>
      </w:r>
    </w:p>
    <w:p>
      <w:pPr>
        <w:pStyle w:val="ListParagraph"/>
        <w:numPr>
          <w:ilvl w:val="0"/>
          <w:numId w:val="2"/>
        </w:numPr>
        <w:spacing w:after="40" w:before="40"/>
      </w:pPr>
      <w:r>
        <w:rPr>
          <w:rFonts w:ascii="Arial" w:cs="Arial" w:eastAsia="Arial" w:hAnsi="Arial"/>
          <w:sz w:val="20"/>
          <w:szCs w:val="20"/>
        </w:rPr>
        <w:t xml:space="preserve">Azure Functions v4 (Node.js ESM), version 0.0.38.</w:t>
      </w:r>
    </w:p>
    <w:p>
      <w:pPr>
        <w:pStyle w:val="ListParagraph"/>
        <w:numPr>
          <w:ilvl w:val="0"/>
          <w:numId w:val="2"/>
        </w:numPr>
        <w:spacing w:after="40" w:before="40"/>
      </w:pPr>
      <w:r>
        <w:rPr>
          <w:rFonts w:ascii="Arial" w:cs="Arial" w:eastAsia="Arial" w:hAnsi="Arial"/>
          <w:sz w:val="20"/>
          <w:szCs w:val="20"/>
        </w:rPr>
        <w:t xml:space="preserve">Single AZURE_STORAGE_CONNECTION_STRING environment variable controlling all application Azure Table operations.</w:t>
      </w:r>
    </w:p>
    <w:p>
      <w:pPr>
        <w:pStyle w:val="ListParagraph"/>
        <w:numPr>
          <w:ilvl w:val="0"/>
          <w:numId w:val="2"/>
        </w:numPr>
        <w:spacing w:after="40" w:before="40"/>
      </w:pPr>
      <w:r>
        <w:rPr>
          <w:rFonts w:ascii="Arial" w:cs="Arial" w:eastAsia="Arial" w:hAnsi="Arial"/>
          <w:sz w:val="20"/>
          <w:szCs w:val="20"/>
        </w:rPr>
        <w:t xml:space="preserve">Two Azure Tables in use:</w:t>
      </w:r>
    </w:p>
    <w:p>
      <w:pPr>
        <w:pStyle w:val="ListParagraph"/>
        <w:numPr>
          <w:ilvl w:val="1"/>
          <w:numId w:val="2"/>
        </w:numPr>
        <w:spacing w:after="40" w:before="40"/>
      </w:pPr>
      <w:r>
        <w:rPr>
          <w:rFonts w:ascii="Arial" w:cs="Arial" w:eastAsia="Arial" w:hAnsi="Arial"/>
          <w:sz w:val="20"/>
          <w:szCs w:val="20"/>
        </w:rPr>
        <w:t xml:space="preserve">ProvisioningStatus — seven-step saga state machine (PartitionKey=projectId, RowKey=correlationId).</w:t>
      </w:r>
    </w:p>
    <w:p>
      <w:pPr>
        <w:pStyle w:val="ListParagraph"/>
        <w:numPr>
          <w:ilvl w:val="1"/>
          <w:numId w:val="2"/>
        </w:numPr>
        <w:spacing w:after="40" w:before="40"/>
      </w:pPr>
      <w:r>
        <w:rPr>
          <w:rFonts w:ascii="Arial" w:cs="Arial" w:eastAsia="Arial" w:hAnsi="Arial"/>
          <w:sz w:val="20"/>
          <w:szCs w:val="20"/>
        </w:rPr>
        <w:t xml:space="preserve">IdempotencyRecords — request deduplication guard (PartitionKey=operationName, RowKey=UUID).</w:t>
      </w:r>
    </w:p>
    <w:p>
      <w:pPr>
        <w:pStyle w:val="ListParagraph"/>
        <w:numPr>
          <w:ilvl w:val="0"/>
          <w:numId w:val="2"/>
        </w:numPr>
        <w:spacing w:after="40" w:before="40"/>
      </w:pPr>
      <w:r>
        <w:rPr>
          <w:rFonts w:ascii="Arial" w:cs="Arial" w:eastAsia="Arial" w:hAnsi="Arial"/>
          <w:sz w:val="20"/>
          <w:szCs w:val="20"/>
        </w:rPr>
        <w:t xml:space="preserve">Two SharePoint lists used as MVP operational data stores (not collaboration artifacts):</w:t>
      </w:r>
    </w:p>
    <w:p>
      <w:pPr>
        <w:pStyle w:val="ListParagraph"/>
        <w:numPr>
          <w:ilvl w:val="1"/>
          <w:numId w:val="2"/>
        </w:numPr>
        <w:spacing w:after="40" w:before="40"/>
      </w:pPr>
      <w:r>
        <w:rPr>
          <w:rFonts w:ascii="Arial" w:cs="Arial" w:eastAsia="Arial" w:hAnsi="Arial"/>
          <w:sz w:val="20"/>
          <w:szCs w:val="20"/>
        </w:rPr>
        <w:t xml:space="preserve">Projects list — project setup request lifecycle state (submitted, under review, approved, etc.).</w:t>
      </w:r>
    </w:p>
    <w:p>
      <w:pPr>
        <w:pStyle w:val="ListParagraph"/>
        <w:numPr>
          <w:ilvl w:val="1"/>
          <w:numId w:val="2"/>
        </w:numPr>
        <w:spacing w:after="40" w:before="40"/>
      </w:pPr>
      <w:r>
        <w:rPr>
          <w:rFonts w:ascii="Arial" w:cs="Arial" w:eastAsia="Arial" w:hAnsi="Arial"/>
          <w:sz w:val="20"/>
          <w:szCs w:val="20"/>
        </w:rPr>
        <w:t xml:space="preserve">ProvisioningAuditLog list — provisioning events for idempotency guard and audit trail.</w:t>
      </w:r>
    </w:p>
    <w:p>
      <w:pPr>
        <w:pStyle w:val="ListParagraph"/>
        <w:numPr>
          <w:ilvl w:val="0"/>
          <w:numId w:val="2"/>
        </w:numPr>
        <w:spacing w:after="40" w:before="40"/>
      </w:pPr>
      <w:r>
        <w:rPr>
          <w:rFonts w:ascii="Arial" w:cs="Arial" w:eastAsia="Arial" w:hAnsi="Arial"/>
          <w:sz w:val="20"/>
          <w:szCs w:val="20"/>
        </w:rPr>
        <w:t xml:space="preserve">Azure SignalR for real-time provisioning progress (per-project groups + admin group).</w:t>
      </w:r>
    </w:p>
    <w:p>
      <w:pPr>
        <w:pStyle w:val="ListParagraph"/>
        <w:numPr>
          <w:ilvl w:val="0"/>
          <w:numId w:val="2"/>
        </w:numPr>
        <w:spacing w:after="40" w:before="40"/>
      </w:pPr>
      <w:r>
        <w:rPr>
          <w:rFonts w:ascii="Arial" w:cs="Arial" w:eastAsia="Arial" w:hAnsi="Arial"/>
          <w:sz w:val="20"/>
          <w:szCs w:val="20"/>
        </w:rPr>
        <w:t xml:space="preserve">Application Insights for telemetry; custom provisioning events in timer function.</w:t>
      </w:r>
    </w:p>
    <w:p>
      <w:pPr>
        <w:pStyle w:val="ListParagraph"/>
        <w:numPr>
          <w:ilvl w:val="0"/>
          <w:numId w:val="2"/>
        </w:numPr>
        <w:spacing w:after="40" w:before="40"/>
      </w:pPr>
      <w:r>
        <w:rPr>
          <w:rFonts w:ascii="Arial" w:cs="Arial" w:eastAsia="Arial" w:hAnsi="Arial"/>
          <w:sz w:val="20"/>
          <w:szCs w:val="20"/>
        </w:rPr>
        <w:t xml:space="preserve">HTTP-based notification dispatch to a SendNotification function endpoint.</w:t>
      </w:r>
    </w:p>
    <w:p>
      <w:pPr>
        <w:pStyle w:val="ListParagraph"/>
        <w:numPr>
          <w:ilvl w:val="0"/>
          <w:numId w:val="2"/>
        </w:numPr>
        <w:spacing w:after="40" w:before="40"/>
      </w:pPr>
      <w:r>
        <w:rPr>
          <w:rFonts w:ascii="Arial" w:cs="Arial" w:eastAsia="Arial" w:hAnsi="Arial"/>
          <w:sz w:val="20"/>
          <w:szCs w:val="20"/>
        </w:rPr>
        <w:t xml:space="preserve">No blob storage, no queue storage, no Service Bus, no Cosmos DB anywhere in the codebase.</w:t>
      </w:r>
    </w:p>
    <w:p>
      <w:pPr>
        <w:spacing w:after="0" w:before="80"/>
      </w:pPr>
      <w:r>
        <w:t xml:space="preserve"/>
      </w:r>
    </w:p>
    <w:p>
      <w:pPr>
        <w:pStyle w:val="Heading3"/>
        <w:spacing w:after="60" w:before="200"/>
      </w:pPr>
      <w:r>
        <w:rPr>
          <w:rFonts w:ascii="Arial" w:cs="Arial" w:eastAsia="Arial" w:hAnsi="Arial"/>
          <w:b/>
          <w:bCs/>
          <w:color w:val="C55A11"/>
          <w:sz w:val="22"/>
          <w:szCs w:val="22"/>
        </w:rPr>
        <w:t xml:space="preserve">Storage SDK</w:t>
      </w:r>
    </w:p>
    <w:p>
      <w:pPr>
        <w:spacing w:after="40" w:before="40"/>
        <w:ind w:left="360"/>
      </w:pPr>
      <w:r>
        <w:rPr>
          <w:rFonts w:ascii="Courier New" w:cs="Courier New" w:eastAsia="Courier New" w:hAnsi="Courier New"/>
          <w:color w:val="404040"/>
          <w:sz w:val="18"/>
          <w:szCs w:val="18"/>
        </w:rPr>
        <w:t xml:space="preserve">@azure/data-tables v13.3.2 — Azure Table Storage with TableClient / TableServiceClient</w:t>
      </w:r>
    </w:p>
    <w:p>
      <w:pPr>
        <w:spacing w:after="40" w:before="40"/>
        <w:ind w:left="360"/>
      </w:pPr>
      <w:r>
        <w:rPr>
          <w:rFonts w:ascii="Courier New" w:cs="Courier New" w:eastAsia="Courier New" w:hAnsi="Courier New"/>
          <w:color w:val="404040"/>
          <w:sz w:val="18"/>
          <w:szCs w:val="18"/>
        </w:rPr>
        <w:t xml:space="preserve">@azure/identity v4.5.0 — DefaultAzureCredential for production authentication</w:t>
      </w:r>
    </w:p>
    <w:p>
      <w:pPr>
        <w:spacing w:after="40" w:before="40"/>
        <w:ind w:left="360"/>
      </w:pPr>
      <w:r>
        <w:rPr>
          <w:rFonts w:ascii="Courier New" w:cs="Courier New" w:eastAsia="Courier New" w:hAnsi="Courier New"/>
          <w:color w:val="404040"/>
          <w:sz w:val="18"/>
          <w:szCs w:val="18"/>
        </w:rPr>
        <w:t xml:space="preserve">@pnp/sp v4.18.0 — SharePoint operations via PnP JavaScript</w:t>
      </w:r>
    </w:p>
    <w:p>
      <w:pPr>
        <w:spacing w:after="0" w:before="80"/>
      </w:pPr>
      <w:r>
        <w:t xml:space="preserve"/>
      </w:r>
    </w:p>
    <w:p>
      <w:pPr>
        <w:pStyle w:val="Heading3"/>
        <w:spacing w:after="60" w:before="200"/>
      </w:pPr>
      <w:r>
        <w:rPr>
          <w:rFonts w:ascii="Arial" w:cs="Arial" w:eastAsia="Arial" w:hAnsi="Arial"/>
          <w:b/>
          <w:bCs/>
          <w:color w:val="C55A11"/>
          <w:sz w:val="22"/>
          <w:szCs w:val="22"/>
        </w:rPr>
        <w:t xml:space="preserve">Data-Access Package (Frontend, @hbc/data-access)</w:t>
      </w:r>
    </w:p>
    <w:p>
      <w:pPr>
        <w:pStyle w:val="ListParagraph"/>
        <w:numPr>
          <w:ilvl w:val="0"/>
          <w:numId w:val="2"/>
        </w:numPr>
        <w:spacing w:after="40" w:before="40"/>
      </w:pPr>
      <w:r>
        <w:rPr>
          <w:rFonts w:ascii="Arial" w:cs="Arial" w:eastAsia="Arial" w:hAnsi="Arial"/>
          <w:sz w:val="20"/>
          <w:szCs w:val="20"/>
        </w:rPr>
        <w:t xml:space="preserve">11 port interfaces: ILeadRepository, IProjectRepository, IEstimatingRepository, IBuyoutRepository, IComplianceRepository, IContractRepository, IRiskRepository, IScorecardRepository, IPmpRepository, IScheduleRepository, IAuthRepository.</w:t>
      </w:r>
    </w:p>
    <w:p>
      <w:pPr>
        <w:pStyle w:val="ListParagraph"/>
        <w:numPr>
          <w:ilvl w:val="0"/>
          <w:numId w:val="2"/>
        </w:numPr>
        <w:spacing w:after="40" w:before="40"/>
      </w:pPr>
      <w:r>
        <w:rPr>
          <w:rFonts w:ascii="Arial" w:cs="Arial" w:eastAsia="Arial" w:hAnsi="Arial"/>
          <w:sz w:val="20"/>
          <w:szCs w:val="20"/>
        </w:rPr>
        <w:t xml:space="preserve">Four registered adapters; two implemented, two stub:</w:t>
      </w:r>
    </w:p>
    <w:p>
      <w:pPr>
        <w:pStyle w:val="ListParagraph"/>
        <w:numPr>
          <w:ilvl w:val="1"/>
          <w:numId w:val="2"/>
        </w:numPr>
        <w:spacing w:after="40" w:before="40"/>
      </w:pPr>
      <w:r>
        <w:rPr>
          <w:rFonts w:ascii="Arial" w:cs="Arial" w:eastAsia="Arial" w:hAnsi="Arial"/>
          <w:sz w:val="20"/>
          <w:szCs w:val="20"/>
        </w:rPr>
        <w:t xml:space="preserve">Mock adapter: fully implemented (in-memory), all 11 domains. Used in dev harness and tests.</w:t>
      </w:r>
    </w:p>
    <w:p>
      <w:pPr>
        <w:pStyle w:val="ListParagraph"/>
        <w:numPr>
          <w:ilvl w:val="1"/>
          <w:numId w:val="2"/>
        </w:numPr>
        <w:spacing w:after="40" w:before="40"/>
      </w:pPr>
      <w:r>
        <w:rPr>
          <w:rFonts w:ascii="Arial" w:cs="Arial" w:eastAsia="Arial" w:hAnsi="Arial"/>
          <w:sz w:val="20"/>
          <w:szCs w:val="20"/>
        </w:rPr>
        <w:t xml:space="preserve">Proxy adapter: fully implemented (HTTP to Azure Functions), all 11 domains. Used in PWA.</w:t>
      </w:r>
    </w:p>
    <w:p>
      <w:pPr>
        <w:pStyle w:val="ListParagraph"/>
        <w:numPr>
          <w:ilvl w:val="1"/>
          <w:numId w:val="2"/>
        </w:numPr>
        <w:spacing w:after="40" w:before="40"/>
      </w:pPr>
      <w:r>
        <w:rPr>
          <w:rFonts w:ascii="Arial" w:cs="Arial" w:eastAsia="Arial" w:hAnsi="Arial"/>
          <w:sz w:val="20"/>
          <w:szCs w:val="20"/>
        </w:rPr>
        <w:t xml:space="preserve">SharePoint adapter: stub only. Phase 5 target. Not yet usable in production.</w:t>
      </w:r>
    </w:p>
    <w:p>
      <w:pPr>
        <w:pStyle w:val="ListParagraph"/>
        <w:numPr>
          <w:ilvl w:val="1"/>
          <w:numId w:val="2"/>
        </w:numPr>
        <w:spacing w:after="40" w:before="40"/>
      </w:pPr>
      <w:r>
        <w:rPr>
          <w:rFonts w:ascii="Arial" w:cs="Arial" w:eastAsia="Arial" w:hAnsi="Arial"/>
          <w:sz w:val="20"/>
          <w:szCs w:val="20"/>
        </w:rPr>
        <w:t xml:space="preserve">API adapter: stub only. Phase 7 target.</w:t>
      </w:r>
    </w:p>
    <w:p>
      <w:pPr>
        <w:spacing w:after="0" w:before="80"/>
      </w:pPr>
      <w:r>
        <w:t xml:space="preserve"/>
      </w:r>
    </w:p>
    <w:p>
      <w:pPr>
        <w:pStyle w:val="Heading3"/>
        <w:spacing w:after="60" w:before="200"/>
      </w:pPr>
      <w:r>
        <w:rPr>
          <w:rFonts w:ascii="Arial" w:cs="Arial" w:eastAsia="Arial" w:hAnsi="Arial"/>
          <w:b/>
          <w:bCs/>
          <w:color w:val="C55A11"/>
          <w:sz w:val="22"/>
          <w:szCs w:val="22"/>
        </w:rPr>
        <w:t xml:space="preserve">Provisioning Saga (Seven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600"/>
        <w:gridCol w:w="2160"/>
      </w:tblGrid>
      <w:tr>
        <w:tc>
          <w:tcPr>
            <w:tcW w:type="dxa" w:w="7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8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SharePoint Operation</w:t>
            </w:r>
          </w:p>
        </w:tc>
        <w:tc>
          <w:tcPr>
            <w:tcW w:type="dxa" w:w="216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Compensation</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Site</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Communication site, deterministic URL from project metadata</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site</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Document Libraries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Project Docs, Drawings, Specifications + department-specific libraries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libraries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Upload Template Files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Upload from src/assets/templates/ to document libraries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uploaded files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Data Lists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RFI Log, Submittal Log, Meeting Minutes, Daily Reports, Issues Log, Punch List, Financial, Project Controls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lists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Install Web Parts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SPFx app installation; 2 immediate attempts; deferred to 1:00 AM EST timer if both fail</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(deferred)</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Set Permissions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Entra ID security groups (3-tier) assigned to SharePoint permission levels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Remove group members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Associate Hub Site</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Project site associated to hub site by SHAREPOINT_HUB_SITE_ID</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Disassociate hub</w:t>
            </w:r>
          </w:p>
        </w:tc>
      </w:tr>
    </w:tbl>
    <w:p>
      <w:pPr>
        <w:spacing w:after="0" w:before="160"/>
      </w:pPr>
      <w:r>
        <w:t xml:space="preserve"/>
      </w:r>
    </w:p>
    <w:p>
      <w:pPr>
        <w:pStyle w:val="Heading3"/>
        <w:spacing w:after="60" w:before="200"/>
      </w:pPr>
      <w:r>
        <w:rPr>
          <w:rFonts w:ascii="Arial" w:cs="Arial" w:eastAsia="Arial" w:hAnsi="Arial"/>
          <w:b/>
          <w:bCs/>
          <w:color w:val="C55A11"/>
          <w:sz w:val="22"/>
          <w:szCs w:val="22"/>
        </w:rPr>
        <w:t xml:space="preserve">Authentication</w:t>
      </w:r>
    </w:p>
    <w:p>
      <w:pPr>
        <w:pStyle w:val="ListParagraph"/>
        <w:numPr>
          <w:ilvl w:val="0"/>
          <w:numId w:val="2"/>
        </w:numPr>
        <w:spacing w:after="40" w:before="40"/>
      </w:pPr>
      <w:r>
        <w:rPr>
          <w:rFonts w:ascii="Arial" w:cs="Arial" w:eastAsia="Arial" w:hAnsi="Arial"/>
          <w:sz w:val="20"/>
          <w:szCs w:val="20"/>
        </w:rPr>
        <w:t xml:space="preserve">Production: System-assigned Managed Identity via DefaultAzureCredential (ADR-0078).</w:t>
      </w:r>
    </w:p>
    <w:p>
      <w:pPr>
        <w:pStyle w:val="ListParagraph"/>
        <w:numPr>
          <w:ilvl w:val="0"/>
          <w:numId w:val="2"/>
        </w:numPr>
        <w:spacing w:after="40" w:before="40"/>
      </w:pPr>
      <w:r>
        <w:rPr>
          <w:rFonts w:ascii="Arial" w:cs="Arial" w:eastAsia="Arial" w:hAnsi="Arial"/>
          <w:sz w:val="20"/>
          <w:szCs w:val="20"/>
        </w:rPr>
        <w:t xml:space="preserve">Development: Service principal (AZURE_CLIENT_ID + AZURE_CLIENT_SECRET).</w:t>
      </w:r>
    </w:p>
    <w:p>
      <w:pPr>
        <w:pStyle w:val="ListParagraph"/>
        <w:numPr>
          <w:ilvl w:val="0"/>
          <w:numId w:val="2"/>
        </w:numPr>
        <w:spacing w:after="40" w:before="40"/>
      </w:pPr>
      <w:r>
        <w:rPr>
          <w:rFonts w:ascii="Arial" w:cs="Arial" w:eastAsia="Arial" w:hAnsi="Arial"/>
          <w:sz w:val="20"/>
          <w:szCs w:val="20"/>
        </w:rPr>
        <w:t xml:space="preserve">Frontend PWA: MSAL browser with OBO to backend.</w:t>
      </w:r>
    </w:p>
    <w:p>
      <w:pPr>
        <w:pStyle w:val="ListParagraph"/>
        <w:numPr>
          <w:ilvl w:val="0"/>
          <w:numId w:val="2"/>
        </w:numPr>
        <w:spacing w:after="40" w:before="40"/>
      </w:pPr>
      <w:r>
        <w:rPr>
          <w:rFonts w:ascii="Arial" w:cs="Arial" w:eastAsia="Arial" w:hAnsi="Arial"/>
          <w:sz w:val="20"/>
          <w:szCs w:val="20"/>
        </w:rPr>
        <w:t xml:space="preserve">Frontend SPFx: SPFx context with OBO to backend.</w:t>
      </w:r>
    </w:p>
    <w:p>
      <w:pPr>
        <w:pStyle w:val="ListParagraph"/>
        <w:numPr>
          <w:ilvl w:val="0"/>
          <w:numId w:val="2"/>
        </w:numPr>
        <w:spacing w:after="40" w:before="40"/>
      </w:pPr>
      <w:r>
        <w:rPr>
          <w:rFonts w:ascii="Arial" w:cs="Arial" w:eastAsia="Arial" w:hAnsi="Arial"/>
          <w:sz w:val="20"/>
          <w:szCs w:val="20"/>
        </w:rPr>
        <w:t xml:space="preserve">CI/CD deployments: GitHub OIDC workload federation (no stored secrets).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2.2 Partial Implementation</w:t>
      </w:r>
    </w:p>
    <w:p>
      <w:pPr>
        <w:pStyle w:val="ListParagraph"/>
        <w:numPr>
          <w:ilvl w:val="0"/>
          <w:numId w:val="2"/>
        </w:numPr>
        <w:spacing w:after="40" w:before="40"/>
      </w:pPr>
      <w:r>
        <w:rPr>
          <w:rFonts w:ascii="Arial" w:cs="Arial" w:eastAsia="Arial" w:hAnsi="Arial"/>
          <w:sz w:val="20"/>
          <w:szCs w:val="20"/>
        </w:rPr>
        <w:t xml:space="preserve">SharePoint data-access adapter: Port interfaces exist for all 11 domains. No concrete implementation. Phase 5 target. Stubs enforced by two-layer CI gate (ADR-0095).</w:t>
      </w:r>
    </w:p>
    <w:p>
      <w:pPr>
        <w:pStyle w:val="ListParagraph"/>
        <w:numPr>
          <w:ilvl w:val="0"/>
          <w:numId w:val="2"/>
        </w:numPr>
        <w:spacing w:after="40" w:before="40"/>
      </w:pPr>
      <w:r>
        <w:rPr>
          <w:rFonts w:ascii="Arial" w:cs="Arial" w:eastAsia="Arial" w:hAnsi="Arial"/>
          <w:sz w:val="20"/>
          <w:szCs w:val="20"/>
        </w:rPr>
        <w:t xml:space="preserve">Redis cache: IRedisCacheService interface and mock implementation exist. Real implementation deferred. No connection string in Wave 0 required config.</w:t>
      </w:r>
    </w:p>
    <w:p>
      <w:pPr>
        <w:pStyle w:val="ListParagraph"/>
        <w:numPr>
          <w:ilvl w:val="0"/>
          <w:numId w:val="2"/>
        </w:numPr>
        <w:spacing w:after="40" w:before="40"/>
      </w:pPr>
      <w:r>
        <w:rPr>
          <w:rFonts w:ascii="Arial" w:cs="Arial" w:eastAsia="Arial" w:hAnsi="Arial"/>
          <w:sz w:val="20"/>
          <w:szCs w:val="20"/>
        </w:rPr>
        <w:t xml:space="preserve">Notification service: HTTP POST-based dispatch implemented. No dead-letter, retry-with-durability, or replay pattern. Fire-and-forget only.</w:t>
      </w:r>
    </w:p>
    <w:p>
      <w:pPr>
        <w:pStyle w:val="ListParagraph"/>
        <w:numPr>
          <w:ilvl w:val="0"/>
          <w:numId w:val="2"/>
        </w:numPr>
        <w:spacing w:after="40" w:before="40"/>
      </w:pPr>
      <w:r>
        <w:rPr>
          <w:rFonts w:ascii="Arial" w:cs="Arial" w:eastAsia="Arial" w:hAnsi="Arial"/>
          <w:sz w:val="20"/>
          <w:szCs w:val="20"/>
        </w:rPr>
        <w:t xml:space="preserve">Observability: Application Insights telemetry integrated; custom provisioning events emitted. No alerting rules, dashboards, SLO definitions, or operational runbooks.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2.3 Plan-Only Intent (Not Yet in Code)</w:t>
      </w:r>
    </w:p>
    <w:p>
      <w:pPr>
        <w:pStyle w:val="ListParagraph"/>
        <w:numPr>
          <w:ilvl w:val="0"/>
          <w:numId w:val="2"/>
        </w:numPr>
        <w:spacing w:after="40" w:before="40"/>
      </w:pPr>
      <w:r>
        <w:rPr>
          <w:rFonts w:ascii="Arial" w:cs="Arial" w:eastAsia="Arial" w:hAnsi="Arial"/>
          <w:b/>
          <w:bCs/>
          <w:sz w:val="20"/>
          <w:szCs w:val="20"/>
        </w:rPr>
        <w:t xml:space="preserve">Cosmos DB for Table: </w:t>
      </w:r>
      <w:r>
        <w:rPr>
          <w:rFonts w:ascii="Arial" w:cs="Arial" w:eastAsia="Arial" w:hAnsi="Arial"/>
          <w:sz w:val="20"/>
          <w:szCs w:val="20"/>
        </w:rPr>
        <w:t xml:space="preserve">Blueprint intent documented. No @azure/cosmos SDK, no Cosmos DB connection string, no migration plan present in code.</w:t>
      </w:r>
    </w:p>
    <w:p>
      <w:pPr>
        <w:pStyle w:val="ListParagraph"/>
        <w:numPr>
          <w:ilvl w:val="0"/>
          <w:numId w:val="2"/>
        </w:numPr>
        <w:spacing w:after="40" w:before="40"/>
      </w:pPr>
      <w:r>
        <w:rPr>
          <w:rFonts w:ascii="Arial" w:cs="Arial" w:eastAsia="Arial" w:hAnsi="Arial"/>
          <w:b/>
          <w:bCs/>
          <w:sz w:val="20"/>
          <w:szCs w:val="20"/>
        </w:rPr>
        <w:t xml:space="preserve">Azure Blob Storage: </w:t>
      </w:r>
      <w:r>
        <w:rPr>
          <w:rFonts w:ascii="Arial" w:cs="Arial" w:eastAsia="Arial" w:hAnsi="Arial"/>
          <w:sz w:val="20"/>
          <w:szCs w:val="20"/>
        </w:rPr>
        <w:t xml:space="preserve">Blueprint intent documented. No @azure/storage-blob SDK, no container definitions, no blob reference model anywhere in the codebase.</w:t>
      </w:r>
    </w:p>
    <w:p>
      <w:pPr>
        <w:pStyle w:val="ListParagraph"/>
        <w:numPr>
          <w:ilvl w:val="0"/>
          <w:numId w:val="2"/>
        </w:numPr>
        <w:spacing w:after="40" w:before="40"/>
      </w:pPr>
      <w:r>
        <w:rPr>
          <w:rFonts w:ascii="Arial" w:cs="Arial" w:eastAsia="Arial" w:hAnsi="Arial"/>
          <w:b/>
          <w:bCs/>
          <w:sz w:val="20"/>
          <w:szCs w:val="20"/>
        </w:rPr>
        <w:t xml:space="preserve">Queue Storage: </w:t>
      </w:r>
      <w:r>
        <w:rPr>
          <w:rFonts w:ascii="Arial" w:cs="Arial" w:eastAsia="Arial" w:hAnsi="Arial"/>
          <w:sz w:val="20"/>
          <w:szCs w:val="20"/>
        </w:rPr>
        <w:t xml:space="preserve">Blueprint intent documented. No QueueClient, no queue trigger functions, no queue connection string present.</w:t>
      </w:r>
    </w:p>
    <w:p>
      <w:pPr>
        <w:pStyle w:val="ListParagraph"/>
        <w:numPr>
          <w:ilvl w:val="0"/>
          <w:numId w:val="2"/>
        </w:numPr>
        <w:spacing w:after="40" w:before="40"/>
      </w:pPr>
      <w:r>
        <w:rPr>
          <w:rFonts w:ascii="Arial" w:cs="Arial" w:eastAsia="Arial" w:hAnsi="Arial"/>
          <w:b/>
          <w:bCs/>
          <w:sz w:val="20"/>
          <w:szCs w:val="20"/>
        </w:rPr>
        <w:t xml:space="preserve">Service Bus: </w:t>
      </w:r>
      <w:r>
        <w:rPr>
          <w:rFonts w:ascii="Arial" w:cs="Arial" w:eastAsia="Arial" w:hAnsi="Arial"/>
          <w:sz w:val="20"/>
          <w:szCs w:val="20"/>
        </w:rPr>
        <w:t xml:space="preserve">Blueprint intent documented. No implementation, no SDK reference, no trigger functions present.</w:t>
      </w:r>
    </w:p>
    <w:p>
      <w:pPr>
        <w:pStyle w:val="ListParagraph"/>
        <w:numPr>
          <w:ilvl w:val="0"/>
          <w:numId w:val="2"/>
        </w:numPr>
        <w:spacing w:after="40" w:before="40"/>
      </w:pPr>
      <w:r>
        <w:rPr>
          <w:rFonts w:ascii="Arial" w:cs="Arial" w:eastAsia="Arial" w:hAnsi="Arial"/>
          <w:b/>
          <w:bCs/>
          <w:sz w:val="20"/>
          <w:szCs w:val="20"/>
        </w:rPr>
        <w:t xml:space="preserve">API adapter in data-access: </w:t>
      </w:r>
      <w:r>
        <w:rPr>
          <w:rFonts w:ascii="Arial" w:cs="Arial" w:eastAsia="Arial" w:hAnsi="Arial"/>
          <w:sz w:val="20"/>
          <w:szCs w:val="20"/>
        </w:rPr>
        <w:t xml:space="preserve">Stub only. Phase 7 target. No REST schema documented in the repository.</w:t>
      </w:r>
    </w:p>
    <w:p>
      <w:r>
        <w:br w:type="page"/>
      </w:r>
    </w:p>
    <w:p>
      <w:pPr>
        <w:pStyle w:val="Heading1"/>
        <w:spacing w:after="120" w:before="360"/>
      </w:pPr>
      <w:r>
        <w:rPr>
          <w:rFonts w:ascii="Arial" w:cs="Arial" w:eastAsia="Arial" w:hAnsi="Arial"/>
          <w:b/>
          <w:bCs/>
          <w:color w:val="1F4E79"/>
          <w:sz w:val="32"/>
          <w:szCs w:val="32"/>
        </w:rPr>
        <w:t xml:space="preserve">3. Audit Against Target Architecture</w:t>
      </w:r>
    </w:p>
    <w:p>
      <w:pPr>
        <w:spacing w:after="80" w:before="60"/>
      </w:pPr>
      <w:r>
        <w:rPr>
          <w:rFonts w:ascii="Arial" w:cs="Arial" w:eastAsia="Arial" w:hAnsi="Arial"/>
          <w:sz w:val="20"/>
          <w:szCs w:val="20"/>
        </w:rPr>
        <w:t xml:space="preserve">Each subsection states the current state found in the repository, the target requirement from the proposed architecture, the identified gap or risk, the preparation work required, and the confidence level in the finding.</w:t>
      </w:r>
    </w:p>
    <w:p>
      <w:pPr>
        <w:spacing w:after="0" w:before="80"/>
      </w:pPr>
      <w:r>
        <w:t xml:space="preserve"/>
      </w:r>
    </w:p>
    <w:p>
      <w:pPr>
        <w:pStyle w:val="Heading2"/>
        <w:spacing w:after="80" w:before="280"/>
      </w:pPr>
      <w:r>
        <w:rPr>
          <w:rFonts w:ascii="Arial" w:cs="Arial" w:eastAsia="Arial" w:hAnsi="Arial"/>
          <w:b/>
          <w:bCs/>
          <w:color w:val="2E75B6"/>
          <w:sz w:val="26"/>
          <w:szCs w:val="26"/>
        </w:rPr>
        <w:t xml:space="preserve">3.1  SharePoint / MVP Provisioning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is used correctly as the system of record for collaboration artifacts: project site creation (communication sites with deterministic URLs), document libraries (Project Documents, Drawings, Specifications, department-specific libraries), data lists (RFI Log, Submittal Log, Meeting Minutes, Daily Reports, Issues Log, Punch List, Financial, Project Controls), template file uploads, SPFx web part installation, Entra ID security group assignment, and hub site association.
Two SharePoint lists serve as MVP operational data stores: (1) the Projects list storing IProjectSetupRequest lifecycle state, and (2) the ProvisioningAuditLog list storing provisioning events. Neither exposes SharePoint ListItem IDs in domain contracts: IProjectSetupRequest.requestId and .projectId are UUID strings stored as custom fields, not SharePoint native IDs.</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remains authoritative for project site outcomes, collaboration artifacts, site-native structures, and provisioning-facing operational experience during MVP. SharePoint should not become the permanent application database for structured operational data that will later migrate.</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Projects list is currently the authoritative store for project setup request state. For MVP this is acceptable and appropriate. Risk: if additional domains start writing operational state to SharePoint lists instead of a structured store, the migration surface grows. The ProvisioningAuditLog list is correctly placed as a SharePoint-native audit trail and should remain in SharePoint permanently.</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explicit governance: which SharePoint lists are permanent collaboration artifacts vs. temporary MVP operational stores. (2) Create IProjectRequestsRepository port interface before the service grows further. (3) Document the migration trigger: when the Projects list should move to Cosmos DB for Table.</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based on direct review of project-requests-service.ts, models package, and data-access package.</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3.2  Functions Host Storage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local.settings.example.json shows both AzureWebJobsStorage and AZURE_STORAGE_CONNECTION_STRING set to UseDevelopmentStorage=true (same Azurite instance locally). The wave-0-config-registry designates AzureWebJobsStorage as 'platform-managed' for production, which is ambiguous: it may mean set at the Azure portal level rather than in local.settings.json, or it may mean a Managed Identity-based binding. No IaC exists to verify which interpretation applies or whether a separate storage account is provisioned for the host.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REQUIRED by Azure Functions host: The storage account referenced by AzureWebJobsStorage must expose Blob, Queue, and Table services (all three are used by the Functions host runtime for state, lease checkpoints, and timer triggers). For Consumption plan functions, the storage account cannot be network-secured (private endpoint or firewall). Same-region as the function app is strongly preferred for performance and reliability. STRONG PRODUCTION BEST PRACTICE (not a hard Microsoft requirement): Use a separate storage account for the Functions host runtime versus application data. Separation prevents lifecycle policies applied to application data from accidentally targeting host blobs (lock state, lease checkpoints, timer state), allows independent RBAC, and provides blast-radius reduction. Identity-based storage connections (the __accountName/__serviceUri pattern) are the Microsoft-recommended approach for zero-key-rotation production deployments.</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If the same storage account serves both AzureWebJobsStorage and AZURE_STORAGE_CONNECTION_STRING in production, any lifecycle management policy applied to application data could target Functions host blobs (lock state, lease checkpoints, timer state). This is a production stability risk. There is also no evidence of identity-based storage connections being configured; the current pattern uses explicit connection strings.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Confirm whether production uses the same or separate storage accounts for host and application data. (2) If same: provision a dedicated host storage account before adding lifecycle policies. (3) Document the topology in the config registry. (4) Evaluate migration to identity-based storage connections (__accountName + __serviceUri pattern).</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MEDIUM — ambiguity is in production configuration that cannot be verified without live infrastructure access or IaC.</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3.3  Cosmos DB for Table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backend uses @azure/data-tables v13.3.2. This SDK is the unified Azure Data Tables SDK supporting both Azure Table Storage (https://&lt;account&gt;.table.core.windows.net) and Cosmos DB for Table (https://&lt;account&gt;.table.cosmos.azure.com) with the same API. No Cosmos DB client, SDK reference, or configuration exists in the codebase.</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Cosmos DB for Table is the recommended migration target for non-SharePoint structured operational data. IMPORTANT CONSTRAINT: Cosmos DB serverless throughput is single-region only; multi-region availability requires provisioned throughput with a different account strategy. Use serverless for early-stage cost control, but plan for a throughput model change if multi-region is required.</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There is NO technical gap in the SDK or code layer. The @azure/data-tables SDK is the intentional migration seam: same API, connection-string-only swap between Azure Table Storage and Cosmos DB for Table. Gaps: (1) No Cosmos DB account provisioned. (2) The AZURE_STORAGE_CONNECTION_STRING variable name conflates 'storage account' with 'table data endpoint', making the migration intent less clear. (3) IdempotencyRecords uses application-enforced TTL (nightly timer + expiresAt field); Cosmos DB for Table supports native TTL at the container/database level. NOTE: The TTL setting in Cosmos DB is a container-level or database-level property (DefaultTimeToLive), NOT a per-item _ts field — _ts is a system-managed timestamp and cannot be set as a TTL knob. Items without an explicit ttl property use the container default.</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No code changes needed for the core migration path — @azure/data-tables is the compatibility seam. (2) Rename AZURE_STORAGE_CONNECTION_STRING to AZURE_TABLE_CONNECTION_STRING or AZURE_TABLE_ENDPOINT in a coordinated config update. (3) Add Cosmos DB for Table account provisioning to IaC. (4) When migrating, set container DefaultTimeToLive on IdempotencyRecords to adopt native TTL and remove the nightly cleanup timer dependency.</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based on direct review of @azure/data-tables SDK version and TableClient usage in table-storage-service.ts and idempotency-storage-service.ts.</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3.4  Table-Style Data Model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ProvisioningStatus table: PartitionKey=projectId (UUID), RowKey=correlationId (UUID). JSON-serialized fields: stepsJson (array of ~7 ISagaStepResult objects), groupMembersJson (array of UPNs). Flat fields: projectNumber, projectName, overallStatus, currentStep, siteUrl, step status flags. Expected entity size: &lt;10KB. Cross-partition queries: listPendingStep5Jobs() (filter: step5DeferredToTimer=true AND overallStatus='WebPartsPending'), listFailedRuns() (filter: overallStatus='Failed').
IdempotencyRecords table: PartitionKey=operationName (e.g., 'createLead'), RowKey=UUID idempotency key. Fields: statusCode, responseBodyJson (full HTTP response body), expiresAt, recordedAt, recordedBy.</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Table-style entities must remain within 1 MiB and 255 properties. Access patterns should be biased toward point lookups or partition-bounded queries. Scan-heavy behaviors are a structural risk at production scale.</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ProvisioningStatus is well-designed. Cross-partition scans (listPendingStep5Jobs, listFailedRuns) are acceptable at MVP scale (tens to hundreds of projects) but will require redesign at production scale. IdempotencyRecords carries a risk: responseBodyJson stores the full HTTP response body. For domain operations returning large arrays (e.g., getAllLeads returning 500 records), this could approach or exceed the 1 MiB entity limit in Cosmos DB for Table.</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Cap or truncate responseBodyJson in IdempotencyRecords at 32KB with a truncation marker. (2) Document expected entity size bounds for ProvisioningStatus entities. (3) Plan for cross-partition scan alternatives at production scale: secondary index table, materialized view, or Azure Search. (4) Confirm non-provisioning domain entities (leads, projects, estimating) use separate entity design strategies.</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ProvisioningStatus and IdempotencyRecords. MEDIUM for future non-provisioning domain entity design.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3.5  Blob Storage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@azure/storage-blob SDK reference anywhere in the codebase (confirmed by full-repo search). No BlobServiceClient, BlobClient, ContainerClient, or blockBlobClient. Template files for provisioning are stored in backend/functions/src/assets/templates/ and uploaded to SharePoint document libraries via sharepoint-service.uploadTemplateFiles(). No generated reports, export packages, import files, or attachment blobs exist.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Large app-managed payloads — bulk imports, generated reports, export packages, attachment files, and AI content artifacts — belong in Blob Storage with a URI pointer in the structured record. Files should not be stored inline in table entities. IMPORTANT BOUNDARY: Blob Storage is NOT a replacement for SharePoint document libraries. SharePoint document libraries are the correct home for project team collaboration documents (templates, site artifacts, uploaded documents shared with project teams). Blob Storage is for application-managed objects (generated artifacts, import/export pipelines, programmatic file processing) that do not require SharePoint collaboration features.</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Blob storage boundary is entirely absent. Current template file placement in SharePoint document libraries is correct — those are SharePoint-native collaboration artifacts and should remain there. However, there is no blob reference model pattern, no container taxonomy, and no separation between app-managed file payloads and structured table data. Future workloads (bulk imports, generated reports, AI content artifacts from @hbc/ai-assist, session state snapshots from @hbc/session-state) have no defined storage destination.</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blob container taxonomy: exports, imports, attachments, ai-artifacts (templates and collaboration documents stay in SharePoint). (2) Establish blob reference pattern: structured table entity holds blobUri field pointing to blob. (3) Add AZURE_BLOB_ENDPOINT to config registry as a planned future requirement. (4) Confirm: project team collaboration documents (SharePoint document libraries) must NOT move to Blob Storage. (5) Add blob account provisioning to IaC backlog.</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confirmed by complete absence of blob SDK in code search.</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3.6  Queue Storage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QueueClient or queue-related Azure SDK usage anywhere in the codebase (confirmed by full-repo search). No queue trigger functions in Azure Functions. No queue connection string in configuration. Async work patterns in use: (1) fire-and-forget Promise chains for notifications, audit, and SignalR dispatch; (2) timer function polling Azure Table at 1:00 AM EST for deferred Step 5 jobs; (3) HTTP POST to notification function endpoint.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Queue Storage is appropriate for simple backlog-style asynchronous work. IMPORTANT DISTINCTION: Azure Queue Storage has no true dead-letter queue. It handles poison messages via a configurable max dequeue count — messages that exceed the dequeue limit are moved to a companion poison queue ($original-queue-name-poison) which must be monitored and processed manually. Azure Service Bus should only be introduced when workloads genuinely require topics/subscriptions, sessions/FIFO ordering, transactions, or true dead-letter queues with replay capability.</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Current fire-and-forget pattern is acceptable for MVP but has hidden risk: notifications dispatched via .catch() will silently drop on HTTP failure with no retry durability. Step 5 deferred work via overnight timer creates up to ~23 hour latency for web part installation failures. A Queue Storage trigger could reduce this to minutes while adding delivery guarantees.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Document the async messaging upgrade path: fire-and-forget → Queue Storage → Service Bus (only if genuinely needed). (2) Add Queue Storage connection string planning to the config registry. (3) When Step 5 retry latency becomes user-visible, Queue Storage trigger is the low-regret upgrade. (4) Establish idempotency design for queue-triggered handlers (reuse existing idempotency guard pattern). (5) Do not introduce Service Bus until a workload genuinely requires topics, sessions, or transactional messaging.</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confirmed by complete absence of Queue SDK in code search.</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3.7  Migration Seam / Adapter Readiness</w:t>
      </w:r>
    </w:p>
    <w:p>
      <w:pPr>
        <w:spacing w:after="80" w:before="60"/>
      </w:pPr>
      <w:r>
        <w:rPr>
          <w:rFonts w:ascii="Arial" w:cs="Arial" w:eastAsia="Arial" w:hAnsi="Arial"/>
          <w:sz w:val="20"/>
          <w:szCs w:val="20"/>
        </w:rPr>
        <w:t xml:space="preserve">Strong seams already present:</w:t>
      </w:r>
    </w:p>
    <w:p>
      <w:pPr>
        <w:pStyle w:val="ListParagraph"/>
        <w:numPr>
          <w:ilvl w:val="0"/>
          <w:numId w:val="2"/>
        </w:numPr>
        <w:spacing w:after="40" w:before="40"/>
      </w:pPr>
      <w:r>
        <w:rPr>
          <w:rFonts w:ascii="Arial" w:cs="Arial" w:eastAsia="Arial" w:hAnsi="Arial"/>
          <w:sz w:val="20"/>
          <w:szCs w:val="20"/>
        </w:rPr>
        <w:t xml:space="preserve">@hbc/data-access: 11 port interfaces with 4 swappable adapters. Mock and proxy fully implemented. This is the primary migration surface for frontend storage and is well-designed.</w:t>
      </w:r>
    </w:p>
    <w:p>
      <w:pPr>
        <w:pStyle w:val="ListParagraph"/>
        <w:numPr>
          <w:ilvl w:val="0"/>
          <w:numId w:val="2"/>
        </w:numPr>
        <w:spacing w:after="40" w:before="40"/>
      </w:pPr>
      <w:r>
        <w:rPr>
          <w:rFonts w:ascii="Arial" w:cs="Arial" w:eastAsia="Arial" w:hAnsi="Arial"/>
          <w:sz w:val="20"/>
          <w:szCs w:val="20"/>
        </w:rPr>
        <w:t xml:space="preserve">Domain model contracts (@hbc/models): No SharePoint ListItem IDs in domain contracts. All entity identifiers are UUIDs. Migration-safe as designed.</w:t>
      </w:r>
    </w:p>
    <w:p>
      <w:pPr>
        <w:pStyle w:val="ListParagraph"/>
        <w:numPr>
          <w:ilvl w:val="0"/>
          <w:numId w:val="2"/>
        </w:numPr>
        <w:spacing w:after="40" w:before="40"/>
      </w:pPr>
      <w:r>
        <w:rPr>
          <w:rFonts w:ascii="Arial" w:cs="Arial" w:eastAsia="Arial" w:hAnsi="Arial"/>
          <w:sz w:val="20"/>
          <w:szCs w:val="20"/>
        </w:rPr>
        <w:t xml:space="preserve">IServiceContainer in backend: Interface-based service container with real and mock implementations for all services. New storage-backed services slot in cleanly.</w:t>
      </w:r>
    </w:p>
    <w:p>
      <w:pPr>
        <w:pStyle w:val="ListParagraph"/>
        <w:numPr>
          <w:ilvl w:val="0"/>
          <w:numId w:val="2"/>
        </w:numPr>
        <w:spacing w:after="40" w:before="40"/>
      </w:pPr>
      <w:r>
        <w:rPr>
          <w:rFonts w:ascii="Arial" w:cs="Arial" w:eastAsia="Arial" w:hAnsi="Arial"/>
          <w:sz w:val="20"/>
          <w:szCs w:val="20"/>
        </w:rPr>
        <w:t xml:space="preserve">ITableStorageService: Clean interface for Azure Table operations on provisioning status; mock and real implementations both present.</w:t>
      </w:r>
    </w:p>
    <w:p>
      <w:pPr>
        <w:spacing w:after="0" w:before="80"/>
      </w:pPr>
      <w:r>
        <w:t xml:space="preserve"/>
      </w:r>
    </w:p>
    <w:p>
      <w:pPr>
        <w:spacing w:after="80" w:before="60"/>
      </w:pPr>
      <w:r>
        <w:rPr>
          <w:rFonts w:ascii="Arial" w:cs="Arial" w:eastAsia="Arial" w:hAnsi="Arial"/>
          <w:sz w:val="20"/>
          <w:szCs w:val="20"/>
        </w:rPr>
        <w:t xml:space="preserve">Weak seams requiring strengthening:</w:t>
      </w:r>
    </w:p>
    <w:p>
      <w:pPr>
        <w:pStyle w:val="ListParagraph"/>
        <w:numPr>
          <w:ilvl w:val="0"/>
          <w:numId w:val="2"/>
        </w:numPr>
        <w:spacing w:after="40" w:before="40"/>
      </w:pPr>
      <w:r>
        <w:rPr>
          <w:rFonts w:ascii="Arial" w:cs="Arial" w:eastAsia="Arial" w:hAnsi="Arial"/>
          <w:b/>
          <w:bCs/>
          <w:sz w:val="20"/>
          <w:szCs w:val="20"/>
        </w:rPr>
        <w:t xml:space="preserve">IProjectRequestsService seam gap (most material): </w:t>
      </w:r>
      <w:r>
        <w:rPr>
          <w:rFonts w:ascii="Arial" w:cs="Arial" w:eastAsia="Arial" w:hAnsi="Arial"/>
          <w:sz w:val="20"/>
          <w:szCs w:val="20"/>
        </w:rPr>
        <w:t xml:space="preserve">The project setup request lifecycle is implemented as a concrete SharePoint-backed service (RealProjectRequestsService) with no repository port interface. If project request data needs to migrate to Cosmos DB for Table, RealProjectRequestsService must be rewritten, not swapped via adapter. This is the most material backend migration seam gap.</w:t>
      </w:r>
    </w:p>
    <w:p>
      <w:pPr>
        <w:pStyle w:val="ListParagraph"/>
        <w:numPr>
          <w:ilvl w:val="0"/>
          <w:numId w:val="2"/>
        </w:numPr>
        <w:spacing w:after="40" w:before="40"/>
      </w:pPr>
      <w:r>
        <w:rPr>
          <w:rFonts w:ascii="Arial" w:cs="Arial" w:eastAsia="Arial" w:hAnsi="Arial"/>
          <w:b/>
          <w:bCs/>
          <w:sz w:val="20"/>
          <w:szCs w:val="20"/>
        </w:rPr>
        <w:t xml:space="preserve">sharepoint-service.ts concern mixing: </w:t>
      </w:r>
      <w:r>
        <w:rPr>
          <w:rFonts w:ascii="Arial" w:cs="Arial" w:eastAsia="Arial" w:hAnsi="Arial"/>
          <w:sz w:val="20"/>
          <w:szCs w:val="20"/>
        </w:rPr>
        <w:t xml:space="preserve">The SharePoint service combines provisioning actions (site creation, list creation, template upload) with data storage operations (audit log writes, request lookups). Provisioning actions belong in SharePoint permanently; data storage operations may migrate. Separating these concerns will reduce migration surface area.</w:t>
      </w:r>
    </w:p>
    <w:p>
      <w:pPr>
        <w:pStyle w:val="ListParagraph"/>
        <w:numPr>
          <w:ilvl w:val="0"/>
          <w:numId w:val="2"/>
        </w:numPr>
        <w:spacing w:after="40" w:before="40"/>
      </w:pPr>
      <w:r>
        <w:rPr>
          <w:rFonts w:ascii="Arial" w:cs="Arial" w:eastAsia="Arial" w:hAnsi="Arial"/>
          <w:b/>
          <w:bCs/>
          <w:sz w:val="20"/>
          <w:szCs w:val="20"/>
        </w:rPr>
        <w:t xml:space="preserve">Idempotency guard fail-open behavior: </w:t>
      </w:r>
      <w:r>
        <w:rPr>
          <w:rFonts w:ascii="Arial" w:cs="Arial" w:eastAsia="Arial" w:hAnsi="Arial"/>
          <w:sz w:val="20"/>
          <w:szCs w:val="20"/>
        </w:rPr>
        <w:t xml:space="preserve">The withIdempotency middleware silences storage errors by design (fail-open). If the idempotency table is unavailable, duplicate operations can succeed. This is documented as intentional but is a risk point during storage migrations when the table endpoint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Frontend: 11 port interfaces, 2 of 4 adapters implemented (mock and proxy). Backend: IServiceContainer pattern with real/mock pairs for all services. Domain models: UUID-based IDs, no SharePoint ListItem ID exposure in contracts. Main gap: IProjectRequestsService is a concrete SharePoint-coupled service without a port interface.</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Clean adapter/repository seams between SharePoint-backed MVP storage and later Azure-backed structured storage. Canonical business IDs must not depend on SharePoint item IDs. SPFx/UI/workflow orchestration must not be tightly coupled to a specific persistence implementation.</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IProjectRequestsService lacks a port interface. This is the only material backend seam gap. All other backend services and all frontend repositories have clean port/adapter structures.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Extract IProjectRequestsRepository port interface from RealProjectRequestsService. (2) Create SharePointProjectRequestsAdapter wrapping current logic. (3) Create CosmosProjectRequestsAdapter stub. (4) Register in IServiceContainer. (5) Separate provisioning actions from data storage operations in sharepoint-service.ts over time.</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frontend seams and all backend services except project requests. HIGH for the specific project-requests gap identification.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3.8  Identity / Config / Deployment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Authentication model is production-grade: DefaultAzureCredential with system-assigned Managed Identity (ADR-0078), service principal for development, GitHub OIDC workload federation for CI/CD deployments, MSAL OBO for frontend-to-backend token exchange. Configuration model: typed env registry (wave0-env-registry.ts) with startup validation, two governance buckets (infrastructure vs. business), Key Vault references planned for production secrets. Deployment model: GitHub Actions CI/CD, OIDC auth, Azurite for test isolation. NO IaC exists in the repository (no Bicep, ARM, Terraform, Pulumi).</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Identity-based storage connections (Managed Identity, __accountName/__serviceUri Azure Functions pattern), IaC covering all resource topology, specific RBAC role assignments per resource for Managed Identity, storage account separation enforced in infrastructure definitions. SECRETS VS CONFIG: Endpoint URIs and account names (storage endpoints, Cosmos DB endpoint, SignalR endpoint) are configuration, not secrets — they can be stored as app settings. Only credentials and keys (storage account keys, Cosmos DB primary/secondary keys, connection strings containing keys) belong in Key Vault.</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IaC gap is the most significant deployment readiness concern. RBAC must be scoped specifically per resource: (a) host storage account — Storage Blob Data Contributor (for internal host blobs) or identity-based binding; (b) app-data Table storage / Cosmos DB — Storage Table Data Contributor or Cosmos DB Built-in Data Contributor; (c) SignalR — SignalR Service Owner; (d) Application Insights — Monitoring Metrics Publisher (for metric writes only); (e) Key Vault — Key Vault Secrets User (read-only for app secrets). One blanket Contributor role on the resource group is NOT appropriate for production. The current connection-string pattern must be replaced with identity-based connections to remove key rotation exposure.</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Create IaC definitions (Bicep preferred) covering: Function App, storage accounts (x2), Cosmos DB for Table, SignalR, Application Insights, Key Vault. (2) Define specific RBAC role assignments per resource as IaC resource blocks — not a single Contributor role. (3) Implement identity-based storage connections for host and app-data storage. (4) Store only actual credentials in Key Vault; move endpoint URIs to app settings. (5) Add IaC deployment step to GitHub Actions workflow.</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identity and auth correctness. HIGH for IaC gap identification.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3.9  Observability /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Application Insights is integrated via APPLICATIONINSIGHTS_CONNECTION_STRING. The withTelemetry middleware wraps all function handlers. Custom telemetry events are emitted in the timer function: ProvisioningTimerStarted, ProvisioningStepDurationMs, ProvisioningStepCompleted, ProvisioningStepFailed. Request ID propagation via X-Request-Id header. Step-level duration and success/failure tracking. Auth failure logging in middleware. isPastDue flag handling in the timer function.</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Production-grade observability requires alerting rules, dashboards, SLO definitions, retry exhaustion monitoring, and operational runbooks for failure remediation.</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alerting rules, dashboard definitions, SLO documentation, or operational runbooks exist in the repository. The step5TimerRetryCount field increments on each failed timer retry but no alert fires when exhaustion thresholds are reached. There is no dead-letter monitoring (no dead-letter queue exists yet). The health endpoint exists but no probe frequency or alert specification is documented.</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Azure Monitor alert rules: provisioning failure rate, Step 5 retry exhaustion (alert at step5TimerRetryCount &gt;= 3), timer function failure, auth spike, response latency P95. (2) Create Application Insights workbook for provisioning pipeline health. (3) Document operational runbook for common failure modes (Step 1 site creation failure, Step 5 web part failure, Step 6 permissions failure). (4) Add dead-letter monitoring when Queue Storage is introduced.</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what is present. HIGH for the identified gaps.</w:t>
            </w:r>
          </w:p>
        </w:tc>
      </w:tr>
    </w:tbl>
    <w:p>
      <w:r>
        <w:br w:type="page"/>
      </w:r>
    </w:p>
    <w:p>
      <w:pPr>
        <w:pStyle w:val="Heading1"/>
        <w:spacing w:after="120" w:before="360"/>
      </w:pPr>
      <w:r>
        <w:rPr>
          <w:rFonts w:ascii="Arial" w:cs="Arial" w:eastAsia="Arial" w:hAnsi="Arial"/>
          <w:b/>
          <w:bCs/>
          <w:color w:val="1F4E79"/>
          <w:sz w:val="32"/>
          <w:szCs w:val="32"/>
        </w:rPr>
        <w:t xml:space="preserve">4. Current vs. Proposed Architecture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00"/>
        <w:gridCol w:w="1600"/>
        <w:gridCol w:w="1080"/>
        <w:gridCol w:w="1080"/>
        <w:gridCol w:w="2320"/>
      </w:tblGrid>
      <w:tr>
        <w:tc>
          <w:tcPr>
            <w:tcW w:type="dxa" w:w="16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Concern</w:t>
            </w:r>
          </w:p>
        </w:tc>
        <w:tc>
          <w:tcPr>
            <w:tcW w:type="dxa" w:w="1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Mechanism</w:t>
            </w:r>
          </w:p>
        </w:tc>
        <w:tc>
          <w:tcPr>
            <w:tcW w:type="dxa" w:w="1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Proposed Target</w:t>
            </w:r>
          </w:p>
        </w:tc>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Compatibility</w:t>
            </w:r>
          </w:p>
        </w:tc>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Migration Difficulty</w:t>
            </w:r>
          </w:p>
        </w:tc>
        <w:tc>
          <w:tcPr>
            <w:tcW w:type="dxa" w:w="23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Preparation</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Provisioning-Domain Storage</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saga state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Table Storage (ProvisioningStatus table)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Cosmos DB for Table</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connection string swap only</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Rename env var; provision Cosmos DB account; preserve existing tests with emulator</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Idempotency records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Table Storage (IdempotencyRecords table)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Cosmos DB for Table with native TTL</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connection string swap + adopt native TTL</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 responseBodyJson at 32KB; remove nightly cleanup timer; adopt Cosmos TTL property</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SharePoint-Backed Stores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 setup requests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Projects list via RealProjectRequestsService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Cosmos DB for Table (long-term)</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requires port interface extraction</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 IProjectRequestsRepository port; create SharePoint and Cosmos DB adapters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audit log</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ProvisioningAuditLog list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 site documents / templates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document libraries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File and Binary Payloads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Large files, imports, exports, attachments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implemented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Blob Storage</w:t>
            </w:r>
          </w:p>
        </w:tc>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greenfield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blob container taxonomy; establish blob URI reference pattern; add @azure/storage-blob SDK</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template files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document libraries (uploaded from src/assets/templates/)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Async Messaging</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Step 5 retry / deferred work</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Timer function polling Azure Table at 1:00 AM EST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Queue Storage trigger</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queue trigger replaces timer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Design idempotent queue handler; add AZURE_QUEUE_CONNECTION_STRING to config registry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Notification dispatch</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Fire-and-forget HTTP POST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Queue Storage backed (optional)</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optional durability upgrade</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Evaluate whether notification loss is acceptable; implement queue-backed handler if not</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Service Bus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implemented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Only if workload requires it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hold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 not introduce until topics, sessions, or transactional messaging are genuinely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Infrastructure and Identity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Functions host storage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AzureWebJobsStorage (same account as app data in local; production unverified)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Dedicated storage account (host only)</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if already separate; LOW to provision new account</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Confirm production topology; provision separate host account if needed; document in IaC</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Storage identity model</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Connection string (AZURE_STORAGE_CONNECTION_STRING)</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Identity-based connections (__accountName/__serviceUri)</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config change + RBAC assignments</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Evaluate and implement identity-based connections; assign Storage Table Data Contributor role to MI</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 infrastructure definitions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in repository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Bicep or Terraform in /infra/</w:t>
            </w:r>
          </w:p>
        </w:tc>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requires infra authoring</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IaC covering all Azure resources; enforce storage account separation; define RBAC</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Frontend data-access adapters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 Proxy implemented; SharePoint + API stubs only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 Proxy + SharePoint + API all implemented</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Phase 5 target (SharePoint adapter)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 SharePoint adapter for 11 domain repositories (Phase 5 deliverable)</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Observability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Telemetry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Application Insights + custom provisioning events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Alerts + dashboards + SLOs + runbooks</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config work in Azure Monitor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alert rules; create Application Insights workbook; document runbooks</w:t>
            </w:r>
          </w:p>
        </w:tc>
      </w:tr>
    </w:tbl>
    <w:p>
      <w:r>
        <w:br w:type="page"/>
      </w:r>
    </w:p>
    <w:p>
      <w:pPr>
        <w:pStyle w:val="Heading1"/>
        <w:spacing w:after="120" w:before="360"/>
      </w:pPr>
      <w:r>
        <w:rPr>
          <w:rFonts w:ascii="Arial" w:cs="Arial" w:eastAsia="Arial" w:hAnsi="Arial"/>
          <w:b/>
          <w:bCs/>
          <w:color w:val="1F4E79"/>
          <w:sz w:val="32"/>
          <w:szCs w:val="32"/>
        </w:rPr>
        <w:t xml:space="preserve">5. What Must Be In Place to Deploy the Proposed Solution</w:t>
      </w:r>
    </w:p>
    <w:p>
      <w:pPr>
        <w:spacing w:after="80" w:before="60"/>
      </w:pPr>
      <w:r>
        <w:rPr>
          <w:rFonts w:ascii="Arial" w:cs="Arial" w:eastAsia="Arial" w:hAnsi="Arial"/>
          <w:sz w:val="20"/>
          <w:szCs w:val="20"/>
        </w:rPr>
        <w:t xml:space="preserve">This section provides an explicit, concrete checklist of what must exist before the proposed target architecture can be deployed safely. Items are grouped by category.</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  Storage Accounts and Resource Topology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topology confirmed and documented. STRONG BEST PRACTICE: Two separate storage accounts — (1) Functions host runtime only (AzureWebJobsStorage: Blob + Queue + Table services available; same region; not network-secured for Consumption plan), (2) Application data (tables for ProvisioningStatus and IdempotencyRecords). Sharing one account is technically supported but not recommended for production due to lifecycle policy blast radius and RBAC separation concerns.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account provisioned. Serverless throughput recommended for early-stage cost control. CONSTRAINT: Cosmos DB serverless is single-region only — if multi-region availability is required, provision with provisioned throughput instead.</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Application data storage account has connection string or endpoint registered in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Storage container hierarchy defined and provisioned (minimum: exports, imports, attachments; templates remain in SharePoint).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network rules reviewed and documented (private endpoints vs. service endpoints vs. public with firewall).</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Lifecycle policies confirmed to target application storage only, never host storage account.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Environment Variables / Secrets / Identity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AzureWebJobsStorage mapped to host-only storage account and confirmed separate from application data.</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AZURE_STORAGE_CONNECTION_STRING renamed to AZURE_TABLE_CONNECTION_STRING (or equivalent storage-agnostic name) and mapped to Cosmos DB for Table endpoint.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AZURE_BLOB_ENDPOINT added to config registry and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AZURE_QUEUE_CONNECTION_STRING added to config registry and Key Vault (when Queue Storage is adopted).</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All production secrets stored as Key Vault references (not inline values in configuration).</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Managed Identity has specific RBAC role assignments per resource: (a) host storage — Storage Blob Data Contributor or identity-based binding; (b) app-data Table/Cosmos DB — Storage Table Data Contributor or Cosmos DB Built-in Data Contributor; (c) SignalR — SignalR Service Owner; (d) Application Insights — Monitoring Metrics Publisher; (e) Key Vault — Key Vault Secrets User. Role assignments defined as IaC resource blocks (not one blanket Contributor role on the resource group).</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Identity-based storage connections (__accountName / __serviceUri pattern) evaluated and implemented if feasible.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5.3  Data Contracts and IDs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All domain entity IDs remain UUID-based. (Currently true — no action needed; must not regress.)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IProjectSetupRequest.requestId confirmed independent of SharePoint ListItem ID. (Currently true — preserve.)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No new domain contracts introduce SharePoint-native IDs.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responseBodyJson in IdempotencyRecords capped at 32KB maximum with truncation marker to prevent entity-size violations.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Repositories / Adapters / Providers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port interface extracted from RealProjectRequestsService.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SharePointProjectRequestsAdapter created (wraps current RealProjectRequestsService logic).</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CosmosProjectRequestsAdapter stub created as the migration target placeholder.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registered in IServiceContainer with adapter-mode config.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Data-access SharePoint adapter implemented for 11 domain repositories (Phase 5 target — not MVP-blocking but must be in place for SPFx-native data operations).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5.5  Table Partitioning and Entity-Shape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ProvisioningStatus entity documented: expected max size per entity, expected partition growth rate per project, maximum step count.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IdempotencyRecords entity: responseBodyJson capped at 32KB; truncation behavior documented in code and developer reference.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Cross-partition query plan documented for listPendingStep5Jobs() and listFailedRuns() at target production scale (hundreds of active projects).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native TTL adopted for IdempotencyRecords (replaces nightly cleanup timer).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Domain entity design guide created for future Cosmos DB for Table entities (PartitionKey selection criteria, query path alignment, entity size bounds, scan avoidance).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5.6  Blob Container and Reference-Model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container taxonomy defined: at minimum exports, imports, attachments, ai-artifacts containers.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reference pattern established: structured table entity holds blobUri field; blob fetched separately by caller.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naming convention defined (include tenant, entity type, entity ID in blob path for lifecycle policy targeting).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lifecycle policy plan drafted (tier to Cool after N days, delete after M days, by container prefix).</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index tags vs. metadata strategy documented (index tags for searchable attributes; metadata for read-only context).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Host storage account confirmed to be excluded from blob lifecycle policies.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5.7  Async Messaging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Fire-and-forget → Queue Storage migration plan drafted and prioritized for Step 5 retry work.</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Queue Storage connection string added to config registry.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Idempotency design confirmed for queue-triggered handlers (reuse existing idempotency guard pattern via withIdempotency middleware).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Retry and poison-message handling strategy documented (Azure Queue Storage max dequeue count and poison queue pattern — Storage Queues have no true DLQ; messages exceeding max dequeue count move to a companion poison queue that requires manual monitoring).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Service Bus introduction criteria formally defined and documented: do not introduce until workload genuinely requires topics / sessions / transactional messaging.</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5.8  Monitoring / Logging / Operational Controls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 Monitor alert rules defined for: provisioning failure rate, Step 5 retry exhaustion (step5TimerRetryCount &gt;= 3), timer function failure, auth spike, response latency P95.</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Application Insights workbook or dashboard created for provisioning pipeline health.</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Operational runbook documented for common failure modes: Step 1 site creation failure, Step 5 web part installation failure, Step 6 permissions failure, timer function past-due.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Health check endpoint (/api/health) connected to Azure Front Door or App Gateway health probe with alert on probe failure.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Dead-letter monitoring defined when Queue Storage is added.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5.9  Deployment / IaC Definition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Bicep (or Terraform) definitions created for: Function App, storage accounts (x2), Cosmos DB for Table, SignalR, Application Insights,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separation enforced in IaC resource definitions.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RBAC role assignments defined as IaC resource blocks.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Deployment pipeline (deploy-functions.yml) updated to run IaC step before function app deployment.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Environment-specific parameter files created for staging vs. production.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5.10  Test Coverage / Validation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Existing Azurite-backed provisioning tests continue passing after connection string rename (rename is non-breaking; Azurite supports both).</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Emulator or live Cosmos DB account used for integration test validation of migrated tables. NOTE: The Docker/Linux Cosmos DB emulator does NOT support the Table API endpoint — only the Windows local emulator supports Table storage emulation. CI pipelines running on Linux agents may require a real Azure test account for Table API integration tests.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Contract tests created for IProjectRequestsRepository port interface (parallel to existing ILeadRepository contract tests).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Migration smoke test: provision a project end-to-end using Cosmos DB for Table backend; verify status and idempotency records are written and readable.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5.11  Documentation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topology diagram added to docs/architecture/.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RBAC assignment table documented in docs/reference/configuration/.</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Wave-0-config-registry updated with Cosmos DB Table endpoint, blob endpoint, queue endpoint, and renamed table connection string.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migration plan documented in docs/architecture/plans/.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reference model pattern documented in docs/how-to/developer/.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Queue Storage upgrade path documented in docs/how-to/developer/.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IaC usage guide added to docs/how-to/developer/.</w:t>
      </w:r>
    </w:p>
    <w:p>
      <w:r>
        <w:br w:type="page"/>
      </w:r>
    </w:p>
    <w:p>
      <w:pPr>
        <w:pStyle w:val="Heading1"/>
        <w:spacing w:after="120" w:before="360"/>
      </w:pPr>
      <w:r>
        <w:rPr>
          <w:rFonts w:ascii="Arial" w:cs="Arial" w:eastAsia="Arial" w:hAnsi="Arial"/>
          <w:b/>
          <w:bCs/>
          <w:color w:val="1F4E79"/>
          <w:sz w:val="32"/>
          <w:szCs w:val="32"/>
        </w:rPr>
        <w:t xml:space="preserve">6. MVP SharePoint-First Viability</w:t>
      </w:r>
    </w:p>
    <w:p>
      <w:pPr>
        <w:shd w:fill="E2EFDA" w:val="clear"/>
        <w:spacing w:after="80" w:before="80"/>
        <w:ind w:left="180" w:right="180"/>
      </w:pPr>
      <w:r>
        <w:rPr>
          <w:rFonts w:ascii="Arial" w:cs="Arial" w:eastAsia="Arial" w:hAnsi="Arial"/>
          <w:b/>
          <w:bCs/>
          <w:color w:val="375623"/>
          <w:sz w:val="20"/>
          <w:szCs w:val="20"/>
        </w:rPr>
        <w:t xml:space="preserve">Assessment: VIABLE AND WELL-STRUCTURED for MVP. The current SharePoint-first provisioning architecture is genuinely appropriate for the MVP phase.</w:t>
      </w:r>
    </w:p>
    <w:p>
      <w:pPr>
        <w:spacing w:after="0" w:before="80"/>
      </w:pPr>
      <w:r>
        <w:t xml:space="preserve"/>
      </w:r>
    </w:p>
    <w:p>
      <w:pPr>
        <w:spacing w:after="80" w:before="60"/>
      </w:pPr>
      <w:r>
        <w:rPr>
          <w:rFonts w:ascii="Arial" w:cs="Arial" w:eastAsia="Arial" w:hAnsi="Arial"/>
          <w:sz w:val="20"/>
          <w:szCs w:val="20"/>
        </w:rPr>
        <w:t xml:space="preserve">The provisioning saga correctly uses SharePoint as the system of record for collaboration artifacts. The seven-step state machine, multi-level idempotency, compensation patterns, retry logic, and fire-and-forget audit trail are production-grade. SPFx web part installation degrades gracefully to an overnight timer when SharePoint-side readiness is uncertain. The architecture handles partial failures with explicit step-level compensation.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What Should Stay in SharePoint During MVP and Beyond</w:t>
      </w:r>
    </w:p>
    <w:p>
      <w:pPr>
        <w:pStyle w:val="ListParagraph"/>
        <w:numPr>
          <w:ilvl w:val="0"/>
          <w:numId w:val="2"/>
        </w:numPr>
        <w:spacing w:after="40" w:before="40"/>
      </w:pPr>
      <w:r>
        <w:rPr>
          <w:rFonts w:ascii="Arial" w:cs="Arial" w:eastAsia="Arial" w:hAnsi="Arial"/>
          <w:sz w:val="20"/>
          <w:szCs w:val="20"/>
        </w:rPr>
        <w:t xml:space="preserve">Project site collaboration structure: sites, document libraries, lists as collaboration tools.</w:t>
      </w:r>
    </w:p>
    <w:p>
      <w:pPr>
        <w:pStyle w:val="ListParagraph"/>
        <w:numPr>
          <w:ilvl w:val="0"/>
          <w:numId w:val="2"/>
        </w:numPr>
        <w:spacing w:after="40" w:before="40"/>
      </w:pPr>
      <w:r>
        <w:rPr>
          <w:rFonts w:ascii="Arial" w:cs="Arial" w:eastAsia="Arial" w:hAnsi="Arial"/>
          <w:sz w:val="20"/>
          <w:szCs w:val="20"/>
        </w:rPr>
        <w:t xml:space="preserve">Template files uploaded to document libraries (they are SharePoint-native artifacts serving project teams).</w:t>
      </w:r>
    </w:p>
    <w:p>
      <w:pPr>
        <w:pStyle w:val="ListParagraph"/>
        <w:numPr>
          <w:ilvl w:val="0"/>
          <w:numId w:val="2"/>
        </w:numPr>
        <w:spacing w:after="40" w:before="40"/>
      </w:pPr>
      <w:r>
        <w:rPr>
          <w:rFonts w:ascii="Arial" w:cs="Arial" w:eastAsia="Arial" w:hAnsi="Arial"/>
          <w:sz w:val="20"/>
          <w:szCs w:val="20"/>
        </w:rPr>
        <w:t xml:space="preserve">SPFx web parts installed on project sites (these ARE the SharePoint product experience).</w:t>
      </w:r>
    </w:p>
    <w:p>
      <w:pPr>
        <w:pStyle w:val="ListParagraph"/>
        <w:numPr>
          <w:ilvl w:val="0"/>
          <w:numId w:val="2"/>
        </w:numPr>
        <w:spacing w:after="40" w:before="40"/>
      </w:pPr>
      <w:r>
        <w:rPr>
          <w:rFonts w:ascii="Arial" w:cs="Arial" w:eastAsia="Arial" w:hAnsi="Arial"/>
          <w:sz w:val="20"/>
          <w:szCs w:val="20"/>
        </w:rPr>
        <w:t xml:space="preserve">SharePoint permission model: Entra ID groups assigned to SharePoint permission levels. This is the only supported permission automation for modern SharePoint.</w:t>
      </w:r>
    </w:p>
    <w:p>
      <w:pPr>
        <w:pStyle w:val="ListParagraph"/>
        <w:numPr>
          <w:ilvl w:val="0"/>
          <w:numId w:val="2"/>
        </w:numPr>
        <w:spacing w:after="40" w:before="40"/>
      </w:pPr>
      <w:r>
        <w:rPr>
          <w:rFonts w:ascii="Arial" w:cs="Arial" w:eastAsia="Arial" w:hAnsi="Arial"/>
          <w:sz w:val="20"/>
          <w:szCs w:val="20"/>
        </w:rPr>
        <w:t xml:space="preserve">Hub site association (SharePoint-native hierarchy).</w:t>
      </w:r>
    </w:p>
    <w:p>
      <w:pPr>
        <w:pStyle w:val="ListParagraph"/>
        <w:numPr>
          <w:ilvl w:val="0"/>
          <w:numId w:val="2"/>
        </w:numPr>
        <w:spacing w:after="40" w:before="40"/>
      </w:pPr>
      <w:r>
        <w:rPr>
          <w:rFonts w:ascii="Arial" w:cs="Arial" w:eastAsia="Arial" w:hAnsi="Arial"/>
          <w:sz w:val="20"/>
          <w:szCs w:val="20"/>
        </w:rPr>
        <w:t xml:space="preserve">ProvisioningAuditLog list: This is an audit trail of SharePoint provisioning events. It belongs as a record within the SharePoint ecosystem.</w:t>
      </w:r>
    </w:p>
    <w:p>
      <w:pPr>
        <w:pStyle w:val="ListParagraph"/>
        <w:numPr>
          <w:ilvl w:val="0"/>
          <w:numId w:val="2"/>
        </w:numPr>
        <w:spacing w:after="40" w:before="40"/>
      </w:pPr>
      <w:r>
        <w:rPr>
          <w:rFonts w:ascii="Arial" w:cs="Arial" w:eastAsia="Arial" w:hAnsi="Arial"/>
          <w:sz w:val="20"/>
          <w:szCs w:val="20"/>
        </w:rPr>
        <w:t xml:space="preserve">@hbc/sharepoint-docs pre-provisioning document management: reference library before site provisioning is a SharePoint-native concern.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What Should NOT Be Allowed to Calcify in SharePoint</w:t>
      </w:r>
    </w:p>
    <w:p>
      <w:pPr>
        <w:pStyle w:val="ListParagraph"/>
        <w:numPr>
          <w:ilvl w:val="0"/>
          <w:numId w:val="2"/>
        </w:numPr>
        <w:spacing w:after="40" w:before="40"/>
      </w:pPr>
      <w:r>
        <w:rPr>
          <w:rFonts w:ascii="Arial" w:cs="Arial" w:eastAsia="Arial" w:hAnsi="Arial"/>
          <w:b/>
          <w:bCs/>
          <w:sz w:val="20"/>
          <w:szCs w:val="20"/>
        </w:rPr>
        <w:t xml:space="preserve">Projects list for project setup request lifecycle: </w:t>
      </w:r>
      <w:r>
        <w:rPr>
          <w:rFonts w:ascii="Arial" w:cs="Arial" w:eastAsia="Arial" w:hAnsi="Arial"/>
          <w:sz w:val="20"/>
          <w:szCs w:val="20"/>
        </w:rPr>
        <w:t xml:space="preserve">This is operational data, not a collaboration artifact. It is currently appropriate for MVP because the request lifecycle is tightly coupled to provisioning workflow. It should migrate to Cosmos DB for Table when the Projects list becomes the authoritative record for operational concerns beyond provisioning.</w:t>
      </w:r>
    </w:p>
    <w:p>
      <w:pPr>
        <w:pStyle w:val="ListParagraph"/>
        <w:numPr>
          <w:ilvl w:val="0"/>
          <w:numId w:val="2"/>
        </w:numPr>
        <w:spacing w:after="40" w:before="40"/>
      </w:pPr>
      <w:r>
        <w:rPr>
          <w:rFonts w:ascii="Arial" w:cs="Arial" w:eastAsia="Arial" w:hAnsi="Arial"/>
          <w:b/>
          <w:bCs/>
          <w:sz w:val="20"/>
          <w:szCs w:val="20"/>
        </w:rPr>
        <w:t xml:space="preserve">Any future operational domain data: </w:t>
      </w:r>
      <w:r>
        <w:rPr>
          <w:rFonts w:ascii="Arial" w:cs="Arial" w:eastAsia="Arial" w:hAnsi="Arial"/>
          <w:sz w:val="20"/>
          <w:szCs w:val="20"/>
        </w:rPr>
        <w:t xml:space="preserve">Leads, estimating records, project metrics, compliance data, and similar operational data must flow through the ports/adapters pattern in @hbc/data-access and must not accumulate as SharePoint list data.</w:t>
      </w:r>
    </w:p>
    <w:p>
      <w:pPr>
        <w:pStyle w:val="ListParagraph"/>
        <w:numPr>
          <w:ilvl w:val="0"/>
          <w:numId w:val="2"/>
        </w:numPr>
        <w:spacing w:after="40" w:before="40"/>
      </w:pPr>
      <w:r>
        <w:rPr>
          <w:rFonts w:ascii="Arial" w:cs="Arial" w:eastAsia="Arial" w:hAnsi="Arial"/>
          <w:b/>
          <w:bCs/>
          <w:sz w:val="20"/>
          <w:szCs w:val="20"/>
        </w:rPr>
        <w:t xml:space="preserve">Complex cross-list query patterns: </w:t>
      </w:r>
      <w:r>
        <w:rPr>
          <w:rFonts w:ascii="Arial" w:cs="Arial" w:eastAsia="Arial" w:hAnsi="Arial"/>
          <w:sz w:val="20"/>
          <w:szCs w:val="20"/>
        </w:rPr>
        <w:t xml:space="preserve">SharePoint OData filtering is not an operational query engine. If filtering, sorting, grouping, or aggregating operational data becomes complex, Cosmos DB for Table (or another store) is the correct destination.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Limits, Risks, and Guardrails for MVP</w:t>
      </w:r>
    </w:p>
    <w:p>
      <w:pPr>
        <w:pStyle w:val="ListParagraph"/>
        <w:numPr>
          <w:ilvl w:val="0"/>
          <w:numId w:val="2"/>
        </w:numPr>
        <w:spacing w:after="40" w:before="40"/>
      </w:pPr>
      <w:r>
        <w:rPr>
          <w:rFonts w:ascii="Arial" w:cs="Arial" w:eastAsia="Arial" w:hAnsi="Arial"/>
          <w:b/>
          <w:bCs/>
          <w:sz w:val="20"/>
          <w:szCs w:val="20"/>
        </w:rPr>
        <w:t xml:space="preserve">Projects list query cap (NEAR-TERM RISK): </w:t>
      </w:r>
      <w:r>
        <w:rPr>
          <w:rFonts w:ascii="Arial" w:cs="Arial" w:eastAsia="Arial" w:hAnsi="Arial"/>
          <w:sz w:val="20"/>
          <w:szCs w:val="20"/>
        </w:rPr>
        <w:t xml:space="preserve">The current listRequests() implementation uses .top(5000) without pagination. NOTE: SharePoint Online can hold far more than 5,000 list items — the 5,000 number is a list-view and query threshold concern, not a storage ceiling. The .top(5000) limit in the code is an engineering design choice that can be fixed with pagination. The real migration trigger for moving from SharePoint to Cosmos DB is when query patterns, reliability needs, or structured app-data requirements no longer fit the SharePoint model — not when item count approaches a specific number.</w:t>
      </w:r>
    </w:p>
    <w:p>
      <w:pPr>
        <w:pStyle w:val="ListParagraph"/>
        <w:numPr>
          <w:ilvl w:val="0"/>
          <w:numId w:val="2"/>
        </w:numPr>
        <w:spacing w:after="40" w:before="40"/>
      </w:pPr>
      <w:r>
        <w:rPr>
          <w:rFonts w:ascii="Arial" w:cs="Arial" w:eastAsia="Arial" w:hAnsi="Arial"/>
          <w:b/>
          <w:bCs/>
          <w:sz w:val="20"/>
          <w:szCs w:val="20"/>
        </w:rPr>
        <w:t xml:space="preserve">SharePoint throttling (OPERATIONAL RISK): </w:t>
      </w:r>
      <w:r>
        <w:rPr>
          <w:rFonts w:ascii="Arial" w:cs="Arial" w:eastAsia="Arial" w:hAnsi="Arial"/>
          <w:sz w:val="20"/>
          <w:szCs w:val="20"/>
        </w:rPr>
        <w:t xml:space="preserve">SharePoint Online enforces request rate limits (429 responses). The current architecture does not have explicit backpressure or retry-after handling for throttling during concurrent provisioning operations. At low volume this is manageable; at moderate concurrency it becomes a saga failure mode.</w:t>
      </w:r>
    </w:p>
    <w:p>
      <w:pPr>
        <w:pStyle w:val="ListParagraph"/>
        <w:numPr>
          <w:ilvl w:val="0"/>
          <w:numId w:val="2"/>
        </w:numPr>
        <w:spacing w:after="40" w:before="40"/>
      </w:pPr>
      <w:r>
        <w:rPr>
          <w:rFonts w:ascii="Arial" w:cs="Arial" w:eastAsia="Arial" w:hAnsi="Arial"/>
          <w:b/>
          <w:bCs/>
          <w:sz w:val="20"/>
          <w:szCs w:val="20"/>
        </w:rPr>
        <w:t xml:space="preserve">Step 5 overnight timer latency (USER EXPERIENCE RISK): </w:t>
      </w:r>
      <w:r>
        <w:rPr>
          <w:rFonts w:ascii="Arial" w:cs="Arial" w:eastAsia="Arial" w:hAnsi="Arial"/>
          <w:sz w:val="20"/>
          <w:szCs w:val="20"/>
        </w:rPr>
        <w:t xml:space="preserve">SPFx web parts will not be available on newly provisioned sites until the 1:00 AM EST timer runs after a Step 5 failure. This creates up to ~23 hours of missing web part functionality. Whether this is acceptable depends on the project team's expectation for how quickly they can use the new site.</w:t>
      </w:r>
    </w:p>
    <w:p>
      <w:pPr>
        <w:pStyle w:val="ListParagraph"/>
        <w:numPr>
          <w:ilvl w:val="0"/>
          <w:numId w:val="2"/>
        </w:numPr>
        <w:spacing w:after="40" w:before="40"/>
      </w:pPr>
      <w:r>
        <w:rPr>
          <w:rFonts w:ascii="Arial" w:cs="Arial" w:eastAsia="Arial" w:hAnsi="Arial"/>
          <w:b/>
          <w:bCs/>
          <w:sz w:val="20"/>
          <w:szCs w:val="20"/>
        </w:rPr>
        <w:t xml:space="preserve">App Catalog dependency (HIDDEN FAILURE MODE): </w:t>
      </w:r>
      <w:r>
        <w:rPr>
          <w:rFonts w:ascii="Arial" w:cs="Arial" w:eastAsia="Arial" w:hAnsi="Arial"/>
          <w:sz w:val="20"/>
          <w:szCs w:val="20"/>
        </w:rPr>
        <w:t xml:space="preserve">Step 5 depends on the SPFx app catalog having the current app package deployed. Any App Catalog update lag or deployment failure creates a hidden reason for Step 5 failures that is not surfaced in the provisioning status model.</w:t>
      </w:r>
    </w:p>
    <w:p>
      <w:r>
        <w:br w:type="page"/>
      </w:r>
    </w:p>
    <w:p>
      <w:pPr>
        <w:pStyle w:val="Heading1"/>
        <w:spacing w:after="120" w:before="360"/>
      </w:pPr>
      <w:r>
        <w:rPr>
          <w:rFonts w:ascii="Arial" w:cs="Arial" w:eastAsia="Arial" w:hAnsi="Arial"/>
          <w:b/>
          <w:bCs/>
          <w:color w:val="1F4E79"/>
          <w:sz w:val="32"/>
          <w:szCs w:val="32"/>
        </w:rPr>
        <w:t xml:space="preserve">7. Recommended Preparation Sequence</w:t>
      </w:r>
    </w:p>
    <w:p>
      <w:pPr>
        <w:spacing w:after="80" w:before="60"/>
      </w:pPr>
      <w:r>
        <w:rPr>
          <w:rFonts w:ascii="Arial" w:cs="Arial" w:eastAsia="Arial" w:hAnsi="Arial"/>
          <w:sz w:val="20"/>
          <w:szCs w:val="20"/>
        </w:rPr>
        <w:t xml:space="preserve">An ordered sequence of preparation workstreams. No implementation patches. No code edits. Ordered by risk reduction value and dependency structure. Service Bus is intentionally omitted: introduce only when a workload genuinely requires topics, sessions, or transactional messaging.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20"/>
        <w:gridCol w:w="1840"/>
        <w:gridCol w:w="4600"/>
        <w:gridCol w:w="1400"/>
      </w:tblGrid>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1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When</w:t>
            </w:r>
          </w:p>
        </w:tc>
        <w:tc>
          <w:tcPr>
            <w:tcW w:type="dxa" w:w="18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Workstream</w:t>
            </w:r>
          </w:p>
        </w:tc>
        <w:tc>
          <w:tcPr>
            <w:tcW w:type="dxa" w:w="4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Production</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Infrastructure Documentation and Host Storage Isolation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Confirm whether AzureWebJobsStorage and AZURE_STORAGE_CONNECTION_STRING map to the same or separate storage accounts in production. If same, provision a dedicated host storage account. Create foundational IaC definitions for the confirmed topology. This workstream is blocking: lifecycle policies must not be applied until host storage isolation is confirmed.</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blocked | Lifecycle policies blocked | No code changes</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Cosmos DB Migration</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Port Interface Extraction for Project Requests</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 IProjectRequestsRepository port interface from RealProjectRequestsService. Create SharePointProjectRequestsAdapter wrapping current logic. Create CosmosProjectRequestsAdapter stub. Register the interface in IServiceContainer. This is a pure refactoring with no behavior change and no deployment change required.</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Zero behavior change | Enables clean Cosmos DB migration | Low risk</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Concurrent with WS 2</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Account Provisioning</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 Cosmos DB for Table account provisioning to IaC. Configure serverless throughput (NOTE: serverless is single-region only; plan for provisioned throughput if multi-region is required). Rename AZURE_STORAGE_CONNECTION_STRING to a storage-agnostic name in a coordinated config update across config registry, environment definitions, and Key Vault references. Validate existing Azure Table tests pass. NOTE: The Docker/Linux Cosmos DB emulator does not support the Table API — Windows local emulator or a real Azure test account is required for Table API integration tests on Linux CI agents.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Connection string rename coordinates with WS 2 deployment</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After WS 3</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Idempotency Record Hardening</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 responseBodyJson at 32KB with truncation marker in IdempotencyRecords writes. Migrate IdempotencyRecords cleanup from nightly timer to Cosmos DB native TTL. This reduces operational burden and prevents entity-size violations at production data volume.</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Cosmos DB account required (WS 3)</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Concurrent with WS 4</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Observability Uplift</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and deploy Azure Monitor alert rules for provisioning pipeline health. Create Application Insights workbook. Add step5TimerRetryCount exhaustion alerting (threshold: 3). Document operational runbook for provisioning failure modes.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No dependency on other workstreams | Purely additive</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6</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File Workloads Arrive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Blob Storage Boundary Definition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blob container taxonomy. Establish blob reference pattern (URI pointer in table entity). Add @azure/storage-blob SDK to backend. Add AZURE_BLOB_ENDPOINT to config registry and IaC. Confirm host storage account is excluded from lifecycle policies.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No urgency until file workloads appear</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7</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When Step 5 Latency Becomes User-Visible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Queue Storage for Step 5 Retry</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overnight timer for Step 5 retry with Queue Storage trigger. Design idempotent queue-triggered handler reusing existing idempotency guard. Add Queue Storage to config registry and IaC. Evaluate notification dispatch for queue-backed durability upgrade.</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Driven by user-facing latency requirement</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8</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Phase 5 Deliverable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SharePoint Data-Access Adapter Implementation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 the SharePoint adapter in @hbc/data-access for the 11 domain repositories. This is Phase 5 scope and is required for SPFx-native domain data operations. Not MVP-blocking for provisioning but required for full SPFx surface parity.</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Phase 5 scope | Stub enforcement (ADR-0095) keeps this from blocking current work</w:t>
            </w:r>
          </w:p>
        </w:tc>
      </w:tr>
    </w:tbl>
    <w:p>
      <w:r>
        <w:br w:type="page"/>
      </w:r>
    </w:p>
    <w:p>
      <w:pPr>
        <w:pStyle w:val="Heading1"/>
        <w:spacing w:after="120" w:before="360"/>
      </w:pPr>
      <w:r>
        <w:rPr>
          <w:rFonts w:ascii="Arial" w:cs="Arial" w:eastAsia="Arial" w:hAnsi="Arial"/>
          <w:b/>
          <w:bCs/>
          <w:color w:val="1F4E79"/>
          <w:sz w:val="32"/>
          <w:szCs w:val="32"/>
        </w:rPr>
        <w:t xml:space="preserve">8. Decisions Requiring Human Confirmation</w:t>
      </w:r>
    </w:p>
    <w:p>
      <w:pPr>
        <w:spacing w:after="80" w:before="60"/>
      </w:pPr>
      <w:r>
        <w:rPr>
          <w:rFonts w:ascii="Arial" w:cs="Arial" w:eastAsia="Arial" w:hAnsi="Arial"/>
          <w:sz w:val="20"/>
          <w:szCs w:val="20"/>
        </w:rPr>
        <w:t xml:space="preserve">Only decisions that are genuinely unresolved in the repository and that materially affect architecture or deployment are listed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8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64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Required</w:t>
            </w:r>
          </w:p>
        </w:tc>
      </w:tr>
      <w:tr>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BLOCKING</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Production storage account topology</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Are AzureWebJobsStorage and AZURE_STORAGE_CONNECTION_STRING mapped to the same or separate storage accounts in the current production environment? The repository cannot answer this question. If they share an account, host storage isolation must be addressed before lifecycle policies are applied to application data.</w:t>
            </w:r>
          </w:p>
        </w:tc>
      </w:tr>
      <w:tr>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STRATEGIC</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migration trigger for the Projects list</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should the SharePoint Projects list migrate to Cosmos DB for Table? NOTE: SharePoint Online is not constrained to 5,000 items — that number is a list-view and OData query threshold concern. The real migration trigger is when query patterns, performance requirements, or structured app-data needs no longer fit the SharePoint model. Define the specific business or technical signal (e.g., complex filtering not expressible in OData, query latency concerns, need for server-side aggregation) so the migration is planned rather than reactive.</w:t>
            </w:r>
          </w:p>
        </w:tc>
      </w:tr>
      <w:tr>
        <w:tc>
          <w:tcPr>
            <w:tcW w:type="dxa" w:w="10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TECHNICAL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Identity-based storage connections</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Should the production Function App migrate from connection-string-based storage access to identity-based connections (the Azure Functions __accountName/__serviceUri suffix pattern)? This eliminates key rotation risk but requires explicit RBAC role assignments on storage resources and an additional configuration step.</w:t>
            </w:r>
          </w:p>
        </w:tc>
      </w:tr>
      <w:tr>
        <w:tc>
          <w:tcPr>
            <w:tcW w:type="dxa" w:w="10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404040"/>
                <w:sz w:val="18"/>
                <w:szCs w:val="18"/>
              </w:rPr>
              <w:t xml:space="preserve">ORGANIZATIONAL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repository location</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Should IaC (Bicep or Terraform) be added to this repository under /infra/ or maintained in a separate infrastructure repository? Co-location in this repository simplifies the development loop for a single-backend, single-tenant deployment. A separate repo creates coordination overhead for every resource change.</w:t>
            </w:r>
          </w:p>
        </w:tc>
      </w:tr>
      <w:tr>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OPERATIONAL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Projects list query cap acknowledgment</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current listRequests() implementation uses .top(5000) without pagination. This is an engineering design choice, not a SharePoint storage ceiling. Is this query limit known and accepted for the expected volume, or should pagination be implemented before general availability? The fix (pagination) is straightforward and eliminates the silent truncation risk.</w:t>
            </w:r>
          </w:p>
        </w:tc>
      </w:tr>
      <w:tr>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USER EXPERIENCE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Step 5 overnight timer latency</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 up to approximately 23 hours of latency for SPFx web part installation acceptable for the production experience? If project teams expect web parts to be immediately available after site provisioning, the overnight timer must be replaced with a Queue Storage trigger before general availability.</w:t>
            </w:r>
          </w:p>
        </w:tc>
      </w:tr>
    </w:tbl>
    <w:p>
      <w:r>
        <w:br w:type="page"/>
      </w:r>
    </w:p>
    <w:p>
      <w:pPr>
        <w:pStyle w:val="Heading1"/>
        <w:spacing w:after="120" w:before="360"/>
      </w:pPr>
      <w:r>
        <w:rPr>
          <w:rFonts w:ascii="Arial" w:cs="Arial" w:eastAsia="Arial" w:hAnsi="Arial"/>
          <w:b/>
          <w:bCs/>
          <w:color w:val="1F4E79"/>
          <w:sz w:val="32"/>
          <w:szCs w:val="32"/>
        </w:rPr>
        <w:t xml:space="preserve">Appendix: Repo Evidence Reviewed</w:t>
      </w:r>
    </w:p>
    <w:p>
      <w:pPr>
        <w:spacing w:after="80" w:before="60"/>
      </w:pPr>
      <w:r>
        <w:rPr>
          <w:rFonts w:ascii="Arial" w:cs="Arial" w:eastAsia="Arial" w:hAnsi="Arial"/>
          <w:sz w:val="20"/>
          <w:szCs w:val="20"/>
        </w:rPr>
        <w:t xml:space="preserve">The following files, packages, modules, configuration files, and documentation were read directly from the live repository at /sessions/eager-wonderful-wright/mnt/hb-intel/. No assumptions were made from documentation alone; all architectural conclusions are grounded in direct code review.</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Backend / Azure Functions</w:t>
      </w:r>
    </w:p>
    <w:p>
      <w:pPr>
        <w:spacing w:after="40" w:before="40"/>
        <w:ind w:left="360"/>
      </w:pPr>
      <w:r>
        <w:rPr>
          <w:rFonts w:ascii="Courier New" w:cs="Courier New" w:eastAsia="Courier New" w:hAnsi="Courier New"/>
          <w:color w:val="404040"/>
          <w:sz w:val="18"/>
          <w:szCs w:val="18"/>
        </w:rPr>
        <w:t xml:space="preserve">backend/functions/package.json</w:t>
      </w:r>
    </w:p>
    <w:p>
      <w:pPr>
        <w:spacing w:after="40" w:before="40"/>
        <w:ind w:left="360"/>
      </w:pPr>
      <w:r>
        <w:rPr>
          <w:rFonts w:ascii="Courier New" w:cs="Courier New" w:eastAsia="Courier New" w:hAnsi="Courier New"/>
          <w:color w:val="404040"/>
          <w:sz w:val="18"/>
          <w:szCs w:val="18"/>
        </w:rPr>
        <w:t xml:space="preserve">backend/functions/host.json</w:t>
      </w:r>
    </w:p>
    <w:p>
      <w:pPr>
        <w:spacing w:after="40" w:before="40"/>
        <w:ind w:left="360"/>
      </w:pPr>
      <w:r>
        <w:rPr>
          <w:rFonts w:ascii="Courier New" w:cs="Courier New" w:eastAsia="Courier New" w:hAnsi="Courier New"/>
          <w:color w:val="404040"/>
          <w:sz w:val="18"/>
          <w:szCs w:val="18"/>
        </w:rPr>
        <w:t xml:space="preserve">backend/functions/local.settings.example.json</w:t>
      </w:r>
    </w:p>
    <w:p>
      <w:pPr>
        <w:spacing w:after="40" w:before="40"/>
        <w:ind w:left="360"/>
      </w:pPr>
      <w:r>
        <w:rPr>
          <w:rFonts w:ascii="Courier New" w:cs="Courier New" w:eastAsia="Courier New" w:hAnsi="Courier New"/>
          <w:color w:val="404040"/>
          <w:sz w:val="18"/>
          <w:szCs w:val="18"/>
        </w:rPr>
        <w:t xml:space="preserve">backend/functions/src/config/wave0-env-registry.ts</w:t>
      </w:r>
    </w:p>
    <w:p>
      <w:pPr>
        <w:spacing w:after="40" w:before="40"/>
        <w:ind w:left="360"/>
      </w:pPr>
      <w:r>
        <w:rPr>
          <w:rFonts w:ascii="Courier New" w:cs="Courier New" w:eastAsia="Courier New" w:hAnsi="Courier New"/>
          <w:color w:val="404040"/>
          <w:sz w:val="18"/>
          <w:szCs w:val="18"/>
        </w:rPr>
        <w:t xml:space="preserve">backend/functions/src/config/list-definitions.ts</w:t>
      </w:r>
    </w:p>
    <w:p>
      <w:pPr>
        <w:spacing w:after="40" w:before="40"/>
        <w:ind w:left="360"/>
      </w:pPr>
      <w:r>
        <w:rPr>
          <w:rFonts w:ascii="Courier New" w:cs="Courier New" w:eastAsia="Courier New" w:hAnsi="Courier New"/>
          <w:color w:val="404040"/>
          <w:sz w:val="18"/>
          <w:szCs w:val="18"/>
        </w:rPr>
        <w:t xml:space="preserve">backend/functions/src/config/core-libraries.ts</w:t>
      </w:r>
    </w:p>
    <w:p>
      <w:pPr>
        <w:spacing w:after="40" w:before="40"/>
        <w:ind w:left="360"/>
      </w:pPr>
      <w:r>
        <w:rPr>
          <w:rFonts w:ascii="Courier New" w:cs="Courier New" w:eastAsia="Courier New" w:hAnsi="Courier New"/>
          <w:color w:val="404040"/>
          <w:sz w:val="18"/>
          <w:szCs w:val="18"/>
        </w:rPr>
        <w:t xml:space="preserve">backend/functions/src/config/template-file-manifest.ts</w:t>
      </w:r>
    </w:p>
    <w:p>
      <w:pPr>
        <w:spacing w:after="40" w:before="40"/>
        <w:ind w:left="360"/>
      </w:pPr>
      <w:r>
        <w:rPr>
          <w:rFonts w:ascii="Courier New" w:cs="Courier New" w:eastAsia="Courier New" w:hAnsi="Courier New"/>
          <w:color w:val="404040"/>
          <w:sz w:val="18"/>
          <w:szCs w:val="18"/>
        </w:rPr>
        <w:t xml:space="preserve">backend/functions/src/services/table-storage-service.ts</w:t>
      </w:r>
    </w:p>
    <w:p>
      <w:pPr>
        <w:spacing w:after="40" w:before="40"/>
        <w:ind w:left="360"/>
      </w:pPr>
      <w:r>
        <w:rPr>
          <w:rFonts w:ascii="Courier New" w:cs="Courier New" w:eastAsia="Courier New" w:hAnsi="Courier New"/>
          <w:color w:val="404040"/>
          <w:sz w:val="18"/>
          <w:szCs w:val="18"/>
        </w:rPr>
        <w:t xml:space="preserve">backend/functions/src/services/idempotency-storage-service.ts</w:t>
      </w:r>
    </w:p>
    <w:p>
      <w:pPr>
        <w:spacing w:after="40" w:before="40"/>
        <w:ind w:left="360"/>
      </w:pPr>
      <w:r>
        <w:rPr>
          <w:rFonts w:ascii="Courier New" w:cs="Courier New" w:eastAsia="Courier New" w:hAnsi="Courier New"/>
          <w:color w:val="404040"/>
          <w:sz w:val="18"/>
          <w:szCs w:val="18"/>
        </w:rPr>
        <w:t xml:space="preserve">backend/functions/src/services/project-requests-service.ts</w:t>
      </w:r>
    </w:p>
    <w:p>
      <w:pPr>
        <w:spacing w:after="40" w:before="40"/>
        <w:ind w:left="360"/>
      </w:pPr>
      <w:r>
        <w:rPr>
          <w:rFonts w:ascii="Courier New" w:cs="Courier New" w:eastAsia="Courier New" w:hAnsi="Courier New"/>
          <w:color w:val="404040"/>
          <w:sz w:val="18"/>
          <w:szCs w:val="18"/>
        </w:rPr>
        <w:t xml:space="preserve">backend/functions/src/services/sharepoint-service.ts</w:t>
      </w:r>
    </w:p>
    <w:p>
      <w:pPr>
        <w:spacing w:after="40" w:before="40"/>
        <w:ind w:left="360"/>
      </w:pPr>
      <w:r>
        <w:rPr>
          <w:rFonts w:ascii="Courier New" w:cs="Courier New" w:eastAsia="Courier New" w:hAnsi="Courier New"/>
          <w:color w:val="404040"/>
          <w:sz w:val="18"/>
          <w:szCs w:val="18"/>
        </w:rPr>
        <w:t xml:space="preserve">backend/functions/src/services/graph-service.ts</w:t>
      </w:r>
    </w:p>
    <w:p>
      <w:pPr>
        <w:spacing w:after="40" w:before="40"/>
        <w:ind w:left="360"/>
      </w:pPr>
      <w:r>
        <w:rPr>
          <w:rFonts w:ascii="Courier New" w:cs="Courier New" w:eastAsia="Courier New" w:hAnsi="Courier New"/>
          <w:color w:val="404040"/>
          <w:sz w:val="18"/>
          <w:szCs w:val="18"/>
        </w:rPr>
        <w:t xml:space="preserve">backend/functions/src/services/signalr-push-service.ts</w:t>
      </w:r>
    </w:p>
    <w:p>
      <w:pPr>
        <w:spacing w:after="40" w:before="40"/>
        <w:ind w:left="360"/>
      </w:pPr>
      <w:r>
        <w:rPr>
          <w:rFonts w:ascii="Courier New" w:cs="Courier New" w:eastAsia="Courier New" w:hAnsi="Courier New"/>
          <w:color w:val="404040"/>
          <w:sz w:val="18"/>
          <w:szCs w:val="18"/>
        </w:rPr>
        <w:t xml:space="preserve">backend/functions/src/services/notification-service.ts</w:t>
      </w:r>
    </w:p>
    <w:p>
      <w:pPr>
        <w:spacing w:after="40" w:before="40"/>
        <w:ind w:left="360"/>
      </w:pPr>
      <w:r>
        <w:rPr>
          <w:rFonts w:ascii="Courier New" w:cs="Courier New" w:eastAsia="Courier New" w:hAnsi="Courier New"/>
          <w:color w:val="404040"/>
          <w:sz w:val="18"/>
          <w:szCs w:val="18"/>
        </w:rPr>
        <w:t xml:space="preserve">backend/functions/src/services/service-factory.ts</w:t>
      </w:r>
    </w:p>
    <w:p>
      <w:pPr>
        <w:spacing w:after="40" w:before="40"/>
        <w:ind w:left="360"/>
      </w:pPr>
      <w:r>
        <w:rPr>
          <w:rFonts w:ascii="Courier New" w:cs="Courier New" w:eastAsia="Courier New" w:hAnsi="Courier New"/>
          <w:color w:val="404040"/>
          <w:sz w:val="18"/>
          <w:szCs w:val="18"/>
        </w:rPr>
        <w:t xml:space="preserve">backend/functions/src/services/msal-obo-service.ts</w:t>
      </w:r>
    </w:p>
    <w:p>
      <w:pPr>
        <w:spacing w:after="40" w:before="40"/>
        <w:ind w:left="360"/>
      </w:pPr>
      <w:r>
        <w:rPr>
          <w:rFonts w:ascii="Courier New" w:cs="Courier New" w:eastAsia="Courier New" w:hAnsi="Courier New"/>
          <w:color w:val="404040"/>
          <w:sz w:val="18"/>
          <w:szCs w:val="18"/>
        </w:rPr>
        <w:t xml:space="preserve">backend/functions/src/functions/provisioningSaga/index.ts</w:t>
      </w:r>
    </w:p>
    <w:p>
      <w:pPr>
        <w:spacing w:after="40" w:before="40"/>
        <w:ind w:left="360"/>
      </w:pPr>
      <w:r>
        <w:rPr>
          <w:rFonts w:ascii="Courier New" w:cs="Courier New" w:eastAsia="Courier New" w:hAnsi="Courier New"/>
          <w:color w:val="404040"/>
          <w:sz w:val="18"/>
          <w:szCs w:val="18"/>
        </w:rPr>
        <w:t xml:space="preserve">backend/functions/src/functions/provisioningSaga/saga-orchestrator.ts</w:t>
      </w:r>
    </w:p>
    <w:p>
      <w:pPr>
        <w:spacing w:after="40" w:before="40"/>
        <w:ind w:left="360"/>
      </w:pPr>
      <w:r>
        <w:rPr>
          <w:rFonts w:ascii="Courier New" w:cs="Courier New" w:eastAsia="Courier New" w:hAnsi="Courier New"/>
          <w:color w:val="404040"/>
          <w:sz w:val="18"/>
          <w:szCs w:val="18"/>
        </w:rPr>
        <w:t xml:space="preserve">backend/functions/src/functions/provisioningSaga/notification-dispatch.ts</w:t>
      </w:r>
    </w:p>
    <w:p>
      <w:pPr>
        <w:spacing w:after="40" w:before="40"/>
        <w:ind w:left="360"/>
      </w:pPr>
      <w:r>
        <w:rPr>
          <w:rFonts w:ascii="Courier New" w:cs="Courier New" w:eastAsia="Courier New" w:hAnsi="Courier New"/>
          <w:color w:val="404040"/>
          <w:sz w:val="18"/>
          <w:szCs w:val="18"/>
        </w:rPr>
        <w:t xml:space="preserve">backend/functions/src/functions/provisioningSaga/steps/step5-web-parts.ts</w:t>
      </w:r>
    </w:p>
    <w:p>
      <w:pPr>
        <w:spacing w:after="40" w:before="40"/>
        <w:ind w:left="360"/>
      </w:pPr>
      <w:r>
        <w:rPr>
          <w:rFonts w:ascii="Courier New" w:cs="Courier New" w:eastAsia="Courier New" w:hAnsi="Courier New"/>
          <w:color w:val="404040"/>
          <w:sz w:val="18"/>
          <w:szCs w:val="18"/>
        </w:rPr>
        <w:t xml:space="preserve">backend/functions/src/functions/timerFullSpec/index.ts</w:t>
      </w:r>
    </w:p>
    <w:p>
      <w:pPr>
        <w:spacing w:after="40" w:before="40"/>
        <w:ind w:left="360"/>
      </w:pPr>
      <w:r>
        <w:rPr>
          <w:rFonts w:ascii="Courier New" w:cs="Courier New" w:eastAsia="Courier New" w:hAnsi="Courier New"/>
          <w:color w:val="404040"/>
          <w:sz w:val="18"/>
          <w:szCs w:val="18"/>
        </w:rPr>
        <w:t xml:space="preserve">backend/functions/src/functions/timerFullSpec/handler.ts</w:t>
      </w:r>
    </w:p>
    <w:p>
      <w:pPr>
        <w:spacing w:after="40" w:before="40"/>
        <w:ind w:left="360"/>
      </w:pPr>
      <w:r>
        <w:rPr>
          <w:rFonts w:ascii="Courier New" w:cs="Courier New" w:eastAsia="Courier New" w:hAnsi="Courier New"/>
          <w:color w:val="404040"/>
          <w:sz w:val="18"/>
          <w:szCs w:val="18"/>
        </w:rPr>
        <w:t xml:space="preserve">backend/functions/src/idempotency/idempotency-guard.ts</w:t>
      </w:r>
    </w:p>
    <w:p>
      <w:pPr>
        <w:spacing w:after="40" w:before="40"/>
        <w:ind w:left="360"/>
      </w:pPr>
      <w:r>
        <w:rPr>
          <w:rFonts w:ascii="Courier New" w:cs="Courier New" w:eastAsia="Courier New" w:hAnsi="Courier New"/>
          <w:color w:val="404040"/>
          <w:sz w:val="18"/>
          <w:szCs w:val="18"/>
        </w:rPr>
        <w:t xml:space="preserve">backend/functions/src/idempotency/with-idempotency.ts</w:t>
      </w:r>
    </w:p>
    <w:p>
      <w:pPr>
        <w:spacing w:after="40" w:before="40"/>
        <w:ind w:left="360"/>
      </w:pPr>
      <w:r>
        <w:rPr>
          <w:rFonts w:ascii="Courier New" w:cs="Courier New" w:eastAsia="Courier New" w:hAnsi="Courier New"/>
          <w:color w:val="404040"/>
          <w:sz w:val="18"/>
          <w:szCs w:val="18"/>
        </w:rPr>
        <w:t xml:space="preserve">backend/functions/src/middleware/auth.ts</w:t>
      </w:r>
    </w:p>
    <w:p>
      <w:pPr>
        <w:spacing w:after="40" w:before="40"/>
        <w:ind w:left="360"/>
      </w:pPr>
      <w:r>
        <w:rPr>
          <w:rFonts w:ascii="Courier New" w:cs="Courier New" w:eastAsia="Courier New" w:hAnsi="Courier New"/>
          <w:color w:val="404040"/>
          <w:sz w:val="18"/>
          <w:szCs w:val="18"/>
        </w:rPr>
        <w:t xml:space="preserve">backend/functions/src/utils/env.ts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Platform Packages</w:t>
      </w:r>
    </w:p>
    <w:p>
      <w:pPr>
        <w:spacing w:after="40" w:before="40"/>
        <w:ind w:left="360"/>
      </w:pPr>
      <w:r>
        <w:rPr>
          <w:rFonts w:ascii="Courier New" w:cs="Courier New" w:eastAsia="Courier New" w:hAnsi="Courier New"/>
          <w:color w:val="404040"/>
          <w:sz w:val="18"/>
          <w:szCs w:val="18"/>
        </w:rPr>
        <w:t xml:space="preserve">packages/models/src/index.ts</w:t>
      </w:r>
    </w:p>
    <w:p>
      <w:pPr>
        <w:spacing w:after="40" w:before="40"/>
        <w:ind w:left="360"/>
      </w:pPr>
      <w:r>
        <w:rPr>
          <w:rFonts w:ascii="Courier New" w:cs="Courier New" w:eastAsia="Courier New" w:hAnsi="Courier New"/>
          <w:color w:val="404040"/>
          <w:sz w:val="18"/>
          <w:szCs w:val="18"/>
        </w:rPr>
        <w:t xml:space="preserve">packages/models/src/provisioning/IProvisioning.ts</w:t>
      </w:r>
    </w:p>
    <w:p>
      <w:pPr>
        <w:spacing w:after="40" w:before="40"/>
        <w:ind w:left="360"/>
      </w:pPr>
      <w:r>
        <w:rPr>
          <w:rFonts w:ascii="Courier New" w:cs="Courier New" w:eastAsia="Courier New" w:hAnsi="Courier New"/>
          <w:color w:val="404040"/>
          <w:sz w:val="18"/>
          <w:szCs w:val="18"/>
        </w:rPr>
        <w:t xml:space="preserve">packages/data-access/src/index.ts</w:t>
      </w:r>
    </w:p>
    <w:p>
      <w:pPr>
        <w:spacing w:after="40" w:before="40"/>
        <w:ind w:left="360"/>
      </w:pPr>
      <w:r>
        <w:rPr>
          <w:rFonts w:ascii="Courier New" w:cs="Courier New" w:eastAsia="Courier New" w:hAnsi="Courier New"/>
          <w:color w:val="404040"/>
          <w:sz w:val="18"/>
          <w:szCs w:val="18"/>
        </w:rPr>
        <w:t xml:space="preserve">packages/data-access/src/ (adapter directory structure: mock/, proxy/, sharepoint/, api/)</w:t>
      </w:r>
    </w:p>
    <w:p>
      <w:pPr>
        <w:spacing w:after="40" w:before="40"/>
        <w:ind w:left="360"/>
      </w:pPr>
      <w:r>
        <w:rPr>
          <w:rFonts w:ascii="Courier New" w:cs="Courier New" w:eastAsia="Courier New" w:hAnsi="Courier New"/>
          <w:color w:val="404040"/>
          <w:sz w:val="18"/>
          <w:szCs w:val="18"/>
        </w:rPr>
        <w:t xml:space="preserve">packages/provisioning/package.json</w:t>
      </w:r>
    </w:p>
    <w:p>
      <w:pPr>
        <w:spacing w:after="40" w:before="40"/>
        <w:ind w:left="360"/>
      </w:pPr>
      <w:r>
        <w:rPr>
          <w:rFonts w:ascii="Courier New" w:cs="Courier New" w:eastAsia="Courier New" w:hAnsi="Courier New"/>
          <w:color w:val="404040"/>
          <w:sz w:val="18"/>
          <w:szCs w:val="18"/>
        </w:rPr>
        <w:t xml:space="preserve">packages/provisioning/src/index.ts</w:t>
      </w:r>
    </w:p>
    <w:p>
      <w:pPr>
        <w:spacing w:after="40" w:before="40"/>
        <w:ind w:left="360"/>
      </w:pPr>
      <w:r>
        <w:rPr>
          <w:rFonts w:ascii="Courier New" w:cs="Courier New" w:eastAsia="Courier New" w:hAnsi="Courier New"/>
          <w:color w:val="404040"/>
          <w:sz w:val="18"/>
          <w:szCs w:val="18"/>
        </w:rPr>
        <w:t xml:space="preserve">packages/sharepoint-docs/ (package structure and manifest)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Architecture Documentation</w:t>
      </w:r>
    </w:p>
    <w:p>
      <w:pPr>
        <w:spacing w:after="40" w:before="40"/>
        <w:ind w:left="360"/>
      </w:pPr>
      <w:r>
        <w:rPr>
          <w:rFonts w:ascii="Courier New" w:cs="Courier New" w:eastAsia="Courier New" w:hAnsi="Courier New"/>
          <w:color w:val="404040"/>
          <w:sz w:val="18"/>
          <w:szCs w:val="18"/>
        </w:rPr>
        <w:t xml:space="preserve">docs/architecture/blueprint/current-state-map.md</w:t>
      </w:r>
    </w:p>
    <w:p>
      <w:pPr>
        <w:spacing w:after="40" w:before="40"/>
        <w:ind w:left="360"/>
      </w:pPr>
      <w:r>
        <w:rPr>
          <w:rFonts w:ascii="Courier New" w:cs="Courier New" w:eastAsia="Courier New" w:hAnsi="Courier New"/>
          <w:color w:val="404040"/>
          <w:sz w:val="18"/>
          <w:szCs w:val="18"/>
        </w:rPr>
        <w:t xml:space="preserve">docs/architecture/blueprint/package-relationship-map.md</w:t>
      </w:r>
    </w:p>
    <w:p>
      <w:pPr>
        <w:spacing w:after="40" w:before="40"/>
        <w:ind w:left="360"/>
      </w:pPr>
      <w:r>
        <w:rPr>
          <w:rFonts w:ascii="Courier New" w:cs="Courier New" w:eastAsia="Courier New" w:hAnsi="Courier New"/>
          <w:color w:val="404040"/>
          <w:sz w:val="18"/>
          <w:szCs w:val="18"/>
        </w:rPr>
        <w:t xml:space="preserve">docs/architecture/blueprint/HB-Intel-Blueprint-V4.md</w:t>
      </w:r>
    </w:p>
    <w:p>
      <w:pPr>
        <w:spacing w:after="40" w:before="40"/>
        <w:ind w:left="360"/>
      </w:pPr>
      <w:r>
        <w:rPr>
          <w:rFonts w:ascii="Courier New" w:cs="Courier New" w:eastAsia="Courier New" w:hAnsi="Courier New"/>
          <w:color w:val="404040"/>
          <w:sz w:val="18"/>
          <w:szCs w:val="18"/>
        </w:rPr>
        <w:t xml:space="preserve">docs/architecture/blueprint/HB-Intel-Unified-Blueprint.md</w:t>
      </w:r>
    </w:p>
    <w:p>
      <w:pPr>
        <w:spacing w:after="40" w:before="40"/>
        <w:ind w:left="360"/>
      </w:pPr>
      <w:r>
        <w:rPr>
          <w:rFonts w:ascii="Courier New" w:cs="Courier New" w:eastAsia="Courier New" w:hAnsi="Courier New"/>
          <w:color w:val="404040"/>
          <w:sz w:val="18"/>
          <w:szCs w:val="18"/>
        </w:rPr>
        <w:t xml:space="preserve">docs/architecture/blueprint/HB-Intel-Dev-Roadmap.md</w:t>
      </w:r>
    </w:p>
    <w:p>
      <w:pPr>
        <w:spacing w:after="40" w:before="40"/>
        <w:ind w:left="360"/>
      </w:pPr>
      <w:r>
        <w:rPr>
          <w:rFonts w:ascii="Courier New" w:cs="Courier New" w:eastAsia="Courier New" w:hAnsi="Courier New"/>
          <w:color w:val="404040"/>
          <w:sz w:val="18"/>
          <w:szCs w:val="18"/>
        </w:rPr>
        <w:t xml:space="preserve">docs/reference/configuration/wave-0-config-registry.md</w:t>
      </w:r>
    </w:p>
    <w:p>
      <w:pPr>
        <w:spacing w:after="40" w:before="40"/>
        <w:ind w:left="360"/>
      </w:pPr>
      <w:r>
        <w:rPr>
          <w:rFonts w:ascii="Courier New" w:cs="Courier New" w:eastAsia="Courier New" w:hAnsi="Courier New"/>
          <w:color w:val="404040"/>
          <w:sz w:val="18"/>
          <w:szCs w:val="18"/>
        </w:rPr>
        <w:t xml:space="preserve">docs/README.md</w:t>
      </w:r>
    </w:p>
    <w:p>
      <w:pPr>
        <w:spacing w:after="40" w:before="40"/>
        <w:ind w:left="360"/>
      </w:pPr>
      <w:r>
        <w:rPr>
          <w:rFonts w:ascii="Courier New" w:cs="Courier New" w:eastAsia="Courier New" w:hAnsi="Courier New"/>
          <w:color w:val="404040"/>
          <w:sz w:val="18"/>
          <w:szCs w:val="18"/>
        </w:rPr>
        <w:t xml:space="preserve">ADR catalog: ADR-0002, ADR-0009, ADR-0053 through ADR-0095 (summaries via current-state-map.md)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CI/CD and Deployment Workflows</w:t>
      </w:r>
    </w:p>
    <w:p>
      <w:pPr>
        <w:spacing w:after="40" w:before="40"/>
        <w:ind w:left="360"/>
      </w:pPr>
      <w:r>
        <w:rPr>
          <w:rFonts w:ascii="Courier New" w:cs="Courier New" w:eastAsia="Courier New" w:hAnsi="Courier New"/>
          <w:color w:val="404040"/>
          <w:sz w:val="18"/>
          <w:szCs w:val="18"/>
        </w:rPr>
        <w:t xml:space="preserve">.github/workflows/ci.yml</w:t>
      </w:r>
    </w:p>
    <w:p>
      <w:pPr>
        <w:spacing w:after="40" w:before="40"/>
        <w:ind w:left="360"/>
      </w:pPr>
      <w:r>
        <w:rPr>
          <w:rFonts w:ascii="Courier New" w:cs="Courier New" w:eastAsia="Courier New" w:hAnsi="Courier New"/>
          <w:color w:val="404040"/>
          <w:sz w:val="18"/>
          <w:szCs w:val="18"/>
        </w:rPr>
        <w:t xml:space="preserve">.github/workflows/cd.yml</w:t>
      </w:r>
    </w:p>
    <w:p>
      <w:pPr>
        <w:spacing w:after="40" w:before="40"/>
        <w:ind w:left="360"/>
      </w:pPr>
      <w:r>
        <w:rPr>
          <w:rFonts w:ascii="Courier New" w:cs="Courier New" w:eastAsia="Courier New" w:hAnsi="Courier New"/>
          <w:color w:val="404040"/>
          <w:sz w:val="18"/>
          <w:szCs w:val="18"/>
        </w:rPr>
        <w:t xml:space="preserve">.github/workflows/deploy-functions.yml</w:t>
      </w:r>
    </w:p>
    <w:p>
      <w:pPr>
        <w:spacing w:after="40" w:before="40"/>
        <w:ind w:left="360"/>
      </w:pPr>
      <w:r>
        <w:rPr>
          <w:rFonts w:ascii="Courier New" w:cs="Courier New" w:eastAsia="Courier New" w:hAnsi="Courier New"/>
          <w:color w:val="404040"/>
          <w:sz w:val="18"/>
          <w:szCs w:val="18"/>
        </w:rPr>
        <w:t xml:space="preserve">.github/workflows/spfx-build.yml</w:t>
      </w:r>
    </w:p>
    <w:p>
      <w:pPr>
        <w:spacing w:after="40" w:before="40"/>
        <w:ind w:left="360"/>
      </w:pPr>
      <w:r>
        <w:rPr>
          <w:rFonts w:ascii="Courier New" w:cs="Courier New" w:eastAsia="Courier New" w:hAnsi="Courier New"/>
          <w:color w:val="404040"/>
          <w:sz w:val="18"/>
          <w:szCs w:val="18"/>
        </w:rPr>
        <w:t xml:space="preserve">.github/workflows/spfx-deploy.yml</w:t>
      </w:r>
    </w:p>
    <w:p>
      <w:pPr>
        <w:spacing w:after="0" w:before="80"/>
      </w:pPr>
      <w:r>
        <w:t xml:space="preserve"/>
      </w:r>
    </w:p>
    <w:p>
      <w:pPr>
        <w:pStyle w:val="Heading2"/>
        <w:spacing w:after="80" w:before="280"/>
      </w:pPr>
      <w:r>
        <w:rPr>
          <w:rFonts w:ascii="Arial" w:cs="Arial" w:eastAsia="Arial" w:hAnsi="Arial"/>
          <w:b/>
          <w:bCs/>
          <w:color w:val="2E75B6"/>
          <w:sz w:val="26"/>
          <w:szCs w:val="26"/>
        </w:rPr>
        <w:t xml:space="preserve">Infrastructure Search Results (Negative)</w:t>
      </w:r>
    </w:p>
    <w:p>
      <w:pPr>
        <w:pStyle w:val="ListParagraph"/>
        <w:numPr>
          <w:ilvl w:val="0"/>
          <w:numId w:val="2"/>
        </w:numPr>
        <w:spacing w:after="40" w:before="40"/>
      </w:pPr>
      <w:r>
        <w:rPr>
          <w:rFonts w:ascii="Arial" w:cs="Arial" w:eastAsia="Arial" w:hAnsi="Arial"/>
          <w:sz w:val="20"/>
          <w:szCs w:val="20"/>
        </w:rPr>
        <w:t xml:space="preserve">Search for *.bicep, *.tf, *.tfvars, *.arm.json files: NONE FOUND.</w:t>
      </w:r>
    </w:p>
    <w:p>
      <w:pPr>
        <w:pStyle w:val="ListParagraph"/>
        <w:numPr>
          <w:ilvl w:val="0"/>
          <w:numId w:val="2"/>
        </w:numPr>
        <w:spacing w:after="40" w:before="40"/>
      </w:pPr>
      <w:r>
        <w:rPr>
          <w:rFonts w:ascii="Arial" w:cs="Arial" w:eastAsia="Arial" w:hAnsi="Arial"/>
          <w:sz w:val="20"/>
          <w:szCs w:val="20"/>
        </w:rPr>
        <w:t xml:space="preserve">Search for directories /infra/, /infrastructure/, /.azure/, /deploy/: NONE FOUND.</w:t>
      </w:r>
    </w:p>
    <w:p>
      <w:pPr>
        <w:pStyle w:val="ListParagraph"/>
        <w:numPr>
          <w:ilvl w:val="0"/>
          <w:numId w:val="2"/>
        </w:numPr>
        <w:spacing w:after="40" w:before="40"/>
      </w:pPr>
      <w:r>
        <w:rPr>
          <w:rFonts w:ascii="Arial" w:cs="Arial" w:eastAsia="Arial" w:hAnsi="Arial"/>
          <w:sz w:val="20"/>
          <w:szCs w:val="20"/>
        </w:rPr>
        <w:t xml:space="preserve">Search for BlobServiceClient, BlobClient, ContainerClient, @azure/storage-blob: NONE FOUND.</w:t>
      </w:r>
    </w:p>
    <w:p>
      <w:pPr>
        <w:pStyle w:val="ListParagraph"/>
        <w:numPr>
          <w:ilvl w:val="0"/>
          <w:numId w:val="2"/>
        </w:numPr>
        <w:spacing w:after="40" w:before="40"/>
      </w:pPr>
      <w:r>
        <w:rPr>
          <w:rFonts w:ascii="Arial" w:cs="Arial" w:eastAsia="Arial" w:hAnsi="Arial"/>
          <w:sz w:val="20"/>
          <w:szCs w:val="20"/>
        </w:rPr>
        <w:t xml:space="preserve">Search for CosmosClient, @azure/cosmos, cosmosdb references: NONE FOUND.</w:t>
      </w:r>
    </w:p>
    <w:p>
      <w:pPr>
        <w:pStyle w:val="ListParagraph"/>
        <w:numPr>
          <w:ilvl w:val="0"/>
          <w:numId w:val="2"/>
        </w:numPr>
        <w:spacing w:after="40" w:before="40"/>
      </w:pPr>
      <w:r>
        <w:rPr>
          <w:rFonts w:ascii="Arial" w:cs="Arial" w:eastAsia="Arial" w:hAnsi="Arial"/>
          <w:sz w:val="20"/>
          <w:szCs w:val="20"/>
        </w:rPr>
        <w:t xml:space="preserve">Search for QueueClient, ServiceBusClient, @azure/storage-queue, @azure/service-bus: NONE FOUND.</w:t>
      </w:r>
    </w:p>
    <w:p>
      <w:pPr>
        <w:pStyle w:val="ListParagraph"/>
        <w:numPr>
          <w:ilvl w:val="0"/>
          <w:numId w:val="2"/>
        </w:numPr>
        <w:spacing w:after="40" w:before="40"/>
      </w:pPr>
      <w:r>
        <w:rPr>
          <w:rFonts w:ascii="Arial" w:cs="Arial" w:eastAsia="Arial" w:hAnsi="Arial"/>
          <w:sz w:val="20"/>
          <w:szCs w:val="20"/>
        </w:rPr>
        <w:t xml:space="preserve">Search for Redis client (ioredis, redis, @azure/cache): IRedisCacheService interface present; real implementation absent in Wave 0.</w:t>
      </w:r>
    </w:p>
    <w:p>
      <w:pPr>
        <w:spacing w:after="0" w:before="160"/>
      </w:pPr>
      <w:r>
        <w:t xml:space="preserve"/>
      </w:r>
    </w:p>
    <w:p>
      <w:pPr>
        <w:spacing w:after="40" w:before="0"/>
        <w:jc w:val="center"/>
      </w:pPr>
      <w:r>
        <w:rPr>
          <w:rFonts w:ascii="Arial" w:cs="Arial" w:eastAsia="Arial" w:hAnsi="Arial"/>
          <w:color w:val="7F7F7F"/>
          <w:sz w:val="18"/>
          <w:szCs w:val="18"/>
        </w:rPr>
        <w:t xml:space="preserve">HB Intel Platform Architecture Audit Report</w:t>
      </w:r>
    </w:p>
    <w:p>
      <w:pPr>
        <w:spacing w:after="40" w:before="0"/>
        <w:jc w:val="center"/>
      </w:pPr>
      <w:r>
        <w:rPr>
          <w:rFonts w:ascii="Arial" w:cs="Arial" w:eastAsia="Arial" w:hAnsi="Arial"/>
          <w:color w:val="7F7F7F"/>
          <w:sz w:val="18"/>
          <w:szCs w:val="18"/>
        </w:rPr>
        <w:t xml:space="preserve">March 20, 2026  |  Read-Only  |  Evidence-Based  |  No Code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026"/>
      </w:tabs>
      <w:spacing w:after="0" w:before="120"/>
    </w:pPr>
    <w:r>
      <w:rPr>
        <w:rFonts w:ascii="Arial" w:cs="Arial" w:eastAsia="Arial" w:hAnsi="Arial"/>
        <w:color w:val="9F9F9F"/>
        <w:sz w:val="16"/>
        <w:szCs w:val="16"/>
      </w:rPr>
      <w:t xml:space="preserve">Confidential  —  Read-Only Audit  —  No Code Changes</w:t>
    </w:r>
    <w:r>
      <w:rPr>
        <w:rFonts w:ascii="Arial" w:cs="Arial" w:eastAsia="Arial" w:hAnsi="Arial"/>
        <w:color w:val="9F9F9F"/>
        <w:sz w:val="16"/>
        <w:szCs w:val="16"/>
      </w:rPr>
      <w:t xml:space="preserve">	Page </w:t>
    </w:r>
    <w:r>
      <w:rPr>
        <w:rFonts w:ascii="Arial" w:cs="Arial" w:eastAsia="Arial" w:hAnsi="Arial"/>
        <w:color w:val="9F9F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before="0"/>
    </w:pPr>
    <w:r>
      <w:rPr>
        <w:rFonts w:ascii="Arial" w:cs="Arial" w:eastAsia="Arial" w:hAnsi="Arial"/>
        <w:color w:val="7F7F7F"/>
        <w:sz w:val="18"/>
        <w:szCs w:val="18"/>
      </w:rPr>
      <w:t xml:space="preserve">HB Intel Architecture Audit</w:t>
    </w:r>
    <w:r>
      <w:rPr>
        <w:rFonts w:ascii="Arial" w:cs="Arial" w:eastAsia="Arial" w:hAnsi="Arial"/>
        <w:color w:val="7F7F7F"/>
        <w:sz w:val="18"/>
        <w:szCs w:val="18"/>
      </w:rPr>
      <w:t xml:space="preserve">	March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60"/>
      </w:pPr>
    </w:lvl>
    <w:lvl w:ilvl="1" w15:tentative="1">
      <w:start w:val="1"/>
      <w:numFmt w:val="bullet"/>
      <w:lvlText w:val="◦"/>
      <w:lvlJc w:val="left"/>
      <w:pPr>
        <w:spacing w:after="40" w:before="40"/>
        <w:ind w:left="900" w:hanging="260"/>
      </w:pPr>
    </w:lvl>
  </w:abstractNum>
  <w:abstractNum w:abstractNumId="3" w15:restartNumberingAfterBreak="0">
    <w:multiLevelType w:val="hybridMultilevel"/>
    <w:lvl w:ilvl="0" w15:tentative="1">
      <w:start w:val="1"/>
      <w:numFmt w:val="decimal"/>
      <w:lvlText w:val="%1."/>
      <w:lvlJc w:val="left"/>
      <w:pPr>
        <w:spacing w:after="40" w:before="4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2026-03-20T14:31:13.535Z</dcterms:created>
  <dcterms:modified xsi:type="dcterms:W3CDTF">2026-03-20T14:31:13.538Z</dcterms:modified>
</cp:coreProperties>
</file>

<file path=docProps/custom.xml><?xml version="1.0" encoding="utf-8"?>
<Properties xmlns="http://schemas.openxmlformats.org/officeDocument/2006/custom-properties" xmlns:vt="http://schemas.openxmlformats.org/officeDocument/2006/docPropsVTypes"/>
</file>