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Small"/>
      </w:pPr>
      <w:r>
        <w:rPr>
          <w:b/>
          <w:color w:val="2B62A3"/>
        </w:rPr>
        <w:t>HB Intel</w:t>
      </w:r>
    </w:p>
    <w:p>
      <w:pPr>
        <w:pStyle w:val="Title"/>
      </w:pPr>
      <w:r>
        <w:t>IT Department Setup and Enablement Guide</w:t>
      </w:r>
    </w:p>
    <w:p>
      <w:pPr>
        <w:pStyle w:val="Subtitle"/>
      </w:pPr>
      <w:r>
        <w:t>White-Glove Device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4F7FB" w:val="clear"/>
            <w:tcBorders>
              <w:left w:val="single" w:sz="10" w:color="B7C7DD"/>
              <w:top w:val="single" w:sz="10" w:color="B7C7DD"/>
              <w:right w:val="single" w:sz="10" w:color="B7C7DD"/>
              <w:bottom w:val="single" w:sz="10" w:color="B7C7DD"/>
            </w:tcBorders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Purpose. </w:t>
            </w:r>
            <w:r>
              <w:t>This guide explains how the IT department prepares the Microsoft, Apple, and NinjaOne environments before using the white-glove device deployment feature inside the Admin SPFx IT Control Center.</w:t>
            </w:r>
          </w:p>
          <w:p>
            <w:pPr>
              <w:pStyle w:val="Callout"/>
            </w:pPr>
            <w:r>
              <w:rPr>
                <w:b/>
              </w:rPr>
              <w:t xml:space="preserve">Audience. </w:t>
            </w:r>
            <w:r>
              <w:t>IT administrators, endpoint-management leads, and platform owners responsible for tenant readiness, device enrollment, and post-enrollment standardization.</w:t>
            </w:r>
          </w:p>
          <w:p>
            <w:pPr>
              <w:pStyle w:val="Callout"/>
            </w:pPr>
            <w:r>
              <w:rPr>
                <w:b/>
              </w:rPr>
              <w:t xml:space="preserve">Use. </w:t>
            </w:r>
            <w:r>
              <w:t>This is a setup and operational-readiness guide. It is not a code guide.</w:t>
            </w:r>
          </w:p>
        </w:tc>
      </w:tr>
    </w:tbl>
    <w:p/>
    <w:p>
      <w:pPr>
        <w:pStyle w:val="Heading1"/>
        <w:keepNext/>
        <w:keepLines/>
      </w:pPr>
      <w:r>
        <w:t>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715"/>
      </w:tblGrid>
      <w:tr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Deployment path</w:t>
            </w:r>
          </w:p>
        </w:tc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Primary systems</w:t>
            </w:r>
          </w:p>
        </w:tc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HB Intel role</w:t>
            </w:r>
          </w:p>
        </w:tc>
      </w:tr>
      <w:tr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pStyle w:val="TableText"/>
              <w:jc w:val="center"/>
            </w:pPr>
            <w:r>
              <w:t>Windows devices</w:t>
            </w:r>
          </w:p>
        </w:tc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pStyle w:val="TableText"/>
              <w:jc w:val="left"/>
            </w:pPr>
            <w:r>
              <w:t>Entra ID, Intune, Windows Autopilot</w:t>
            </w:r>
          </w:p>
        </w:tc>
        <w:tc>
          <w:tcPr>
            <w:tcW w:type="dxa" w:w="3331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pStyle w:val="TableText"/>
              <w:jc w:val="left"/>
            </w:pPr>
            <w:r>
              <w:t>Validate readiness, orchestrate package launch, track status, audit, and recovery</w:t>
            </w:r>
          </w:p>
        </w:tc>
      </w:tr>
      <w:tr>
        <w:tc>
          <w:tcPr>
            <w:tcW w:type="dxa" w:w="2376"/>
          </w:tcPr>
          <w:p>
            <w:pPr>
              <w:pStyle w:val="TableText"/>
              <w:jc w:val="center"/>
            </w:pPr>
            <w:r>
              <w:t>Apple devices</w:t>
            </w:r>
          </w:p>
        </w:tc>
        <w:tc>
          <w:tcPr>
            <w:tcW w:type="dxa" w:w="3672"/>
          </w:tcPr>
          <w:p>
            <w:pPr>
              <w:pStyle w:val="TableText"/>
              <w:jc w:val="left"/>
            </w:pPr>
            <w:r>
              <w:t>Apple Business Manager, APNs, Automated Device Enrollment, Intune</w:t>
            </w:r>
          </w:p>
        </w:tc>
        <w:tc>
          <w:tcPr>
            <w:tcW w:type="dxa" w:w="3715"/>
          </w:tcPr>
          <w:p>
            <w:pPr>
              <w:pStyle w:val="TableText"/>
              <w:jc w:val="left"/>
            </w:pPr>
            <w:r>
              <w:t>Validate Apple-side trust, orchestrate runs, surface checkpoints and failures</w:t>
            </w:r>
          </w:p>
        </w:tc>
      </w:tr>
      <w:tr>
        <w:tc>
          <w:tcPr>
            <w:tcW w:type="dxa" w:w="2376"/>
          </w:tcPr>
          <w:p>
            <w:pPr>
              <w:pStyle w:val="TableText"/>
              <w:jc w:val="center"/>
            </w:pPr>
            <w:r>
              <w:t>Post-enrollment standardization</w:t>
            </w:r>
          </w:p>
        </w:tc>
        <w:tc>
          <w:tcPr>
            <w:tcW w:type="dxa" w:w="3672"/>
          </w:tcPr>
          <w:p>
            <w:pPr>
              <w:pStyle w:val="TableText"/>
              <w:jc w:val="left"/>
            </w:pPr>
            <w:r>
              <w:t>NinjaOne APIs, policies, software bundles, scripts, metadata</w:t>
            </w:r>
          </w:p>
        </w:tc>
        <w:tc>
          <w:tcPr>
            <w:tcW w:type="dxa" w:w="3715"/>
          </w:tcPr>
          <w:p>
            <w:pPr>
              <w:pStyle w:val="TableText"/>
              <w:jc w:val="left"/>
            </w:pPr>
            <w:r>
              <w:t>Trigger and monitor post-enrollment actions; retain evidence and operator visibility</w:t>
            </w:r>
          </w:p>
        </w:tc>
      </w:tr>
    </w:tbl>
    <w:p>
      <w:pPr>
        <w:pStyle w:val="Heading1"/>
        <w:keepNext/>
        <w:keepLines/>
      </w:pPr>
      <w:r>
        <w:t>1. What this feature depends on</w:t>
      </w:r>
    </w:p>
    <w:p>
      <w:pPr/>
      <w:r>
        <w:rPr>
          <w:b/>
        </w:rPr>
        <w:t xml:space="preserve">The feature depends on five domains working together. </w:t>
      </w:r>
      <w:r>
        <w:t>All five must be configured, reachable, and governed before first production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6955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B6C7A" w:val="clear"/>
          </w:tcPr>
          <w:p>
            <w:pPr>
              <w:pStyle w:val="TableHeader"/>
              <w:jc w:val="center"/>
            </w:pPr>
            <w:r>
              <w:t>Domain</w:t>
            </w:r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B6C7A" w:val="clear"/>
          </w:tcPr>
          <w:p>
            <w:pPr>
              <w:pStyle w:val="TableHeader"/>
              <w:jc w:val="center"/>
            </w:pPr>
            <w:r>
              <w:t>Dependency scope</w:t>
            </w:r>
          </w:p>
        </w:tc>
      </w:tr>
      <w:tr>
        <w:tc>
          <w:tcPr>
            <w:tcW w:type="dxa" w:w="2808"/>
          </w:tcPr>
          <w:p>
            <w:pPr>
              <w:pStyle w:val="TableText"/>
            </w:pPr>
            <w:r>
              <w:rPr>
                <w:b/>
              </w:rPr>
              <w:t>HB Intel Admin SPFx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• operator console</w:t>
              <w:br/>
              <w:t>• connector setup</w:t>
              <w:br/>
              <w:t>• package launch</w:t>
              <w:br/>
              <w:t>• status, audit, and recovery</w:t>
            </w:r>
          </w:p>
        </w:tc>
      </w:tr>
      <w:tr>
        <w:tc>
          <w:tcPr>
            <w:tcW w:type="dxa" w:w="2808"/>
          </w:tcPr>
          <w:p>
            <w:pPr>
              <w:pStyle w:val="TableText"/>
            </w:pPr>
            <w:r>
              <w:rPr>
                <w:b/>
              </w:rPr>
              <w:t>HB Intel backend control plane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• privileged execution</w:t>
              <w:br/>
              <w:t>• connector validation</w:t>
              <w:br/>
              <w:t>• orchestration</w:t>
              <w:br/>
              <w:t>• audit and evidence persistence</w:t>
            </w:r>
          </w:p>
        </w:tc>
      </w:tr>
      <w:tr>
        <w:tc>
          <w:tcPr>
            <w:tcW w:type="dxa" w:w="2808"/>
          </w:tcPr>
          <w:p>
            <w:pPr>
              <w:pStyle w:val="TableText"/>
            </w:pPr>
            <w:r>
              <w:rPr>
                <w:b/>
              </w:rPr>
              <w:t>Microsoft stack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• Entra ID</w:t>
              <w:br/>
              <w:t>• Intune</w:t>
              <w:br/>
              <w:t>• Windows Autopilot</w:t>
              <w:br/>
              <w:t>• Microsoft Graph permissions</w:t>
              <w:br/>
              <w:t>• conditional device and enrollment policies as needed</w:t>
            </w:r>
          </w:p>
        </w:tc>
      </w:tr>
      <w:tr>
        <w:tc>
          <w:tcPr>
            <w:tcW w:type="dxa" w:w="2808"/>
          </w:tcPr>
          <w:p>
            <w:pPr>
              <w:pStyle w:val="TableText"/>
            </w:pPr>
            <w:r>
              <w:rPr>
                <w:b/>
              </w:rPr>
              <w:t>Apple stack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• Apple Business Manager</w:t>
              <w:br/>
              <w:t>• APNs</w:t>
              <w:br/>
              <w:t>• Automated Device Enrollment</w:t>
              <w:br/>
              <w:t>• Intune MDM for Apple devices</w:t>
            </w:r>
          </w:p>
        </w:tc>
      </w:tr>
      <w:tr>
        <w:tc>
          <w:tcPr>
            <w:tcW w:type="dxa" w:w="2808"/>
          </w:tcPr>
          <w:p>
            <w:pPr>
              <w:pStyle w:val="TableText"/>
            </w:pPr>
            <w:r>
              <w:rPr>
                <w:b/>
              </w:rPr>
              <w:t>NinjaOne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• API access</w:t>
              <w:br/>
              <w:t>• device policies</w:t>
              <w:br/>
              <w:t>• software bundles</w:t>
              <w:br/>
              <w:t>• scripts and automations</w:t>
              <w:br/>
              <w:t>• custom fields and metadata as needed</w:t>
            </w:r>
          </w:p>
        </w:tc>
      </w:tr>
    </w:tbl>
    <w:p>
      <w:pPr>
        <w:pStyle w:val="Heading1"/>
        <w:keepNext/>
        <w:keepLines/>
      </w:pPr>
      <w:r>
        <w:t>2. Target operating model</w:t>
      </w:r>
    </w:p>
    <w:p>
      <w:pPr/>
      <w:r>
        <w:rPr>
          <w:b/>
        </w:rPr>
        <w:t xml:space="preserve">Operating principle. </w:t>
      </w:r>
      <w:r>
        <w:t>Platform-native services retain enrollment authority and device identity ownership. HB Intel orchestrates the workflow, validates readiness, and preserves auditability.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7632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Owner</w:t>
            </w:r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Primary responsibilities</w:t>
            </w:r>
          </w:p>
        </w:tc>
      </w:tr>
      <w:tr>
        <w:tc>
          <w:tcPr>
            <w:tcW w:type="dxa" w:w="2131"/>
          </w:tcPr>
          <w:p>
            <w:pPr>
              <w:pStyle w:val="TableText"/>
              <w:jc w:val="center"/>
            </w:pPr>
            <w:r>
              <w:rPr>
                <w:b/>
              </w:rPr>
              <w:t>Microsoft</w:t>
            </w:r>
          </w:p>
        </w:tc>
        <w:tc>
          <w:tcPr>
            <w:tcW w:type="dxa" w:w="7632"/>
          </w:tcPr>
          <w:p>
            <w:pPr>
              <w:pStyle w:val="TableText"/>
            </w:pPr>
            <w:r>
              <w:t>• Windows device enrollment authority</w:t>
              <w:br/>
              <w:t>• Entra identity and device identity</w:t>
              <w:br/>
              <w:t>• Autopilot registration and deployment-profile assignment</w:t>
              <w:br/>
              <w:t>• Intune MDM policy and enrollment ownership</w:t>
            </w:r>
          </w:p>
        </w:tc>
      </w:tr>
      <w:tr>
        <w:tc>
          <w:tcPr>
            <w:tcW w:type="dxa" w:w="2131"/>
          </w:tcPr>
          <w:p>
            <w:pPr>
              <w:pStyle w:val="TableText"/>
              <w:jc w:val="center"/>
            </w:pPr>
            <w:r>
              <w:rPr>
                <w:b/>
              </w:rPr>
              <w:t>Apple</w:t>
            </w:r>
          </w:p>
        </w:tc>
        <w:tc>
          <w:tcPr>
            <w:tcW w:type="dxa" w:w="7632"/>
          </w:tcPr>
          <w:p>
            <w:pPr>
              <w:pStyle w:val="TableText"/>
            </w:pPr>
            <w:r>
              <w:t>• ADE device ownership and automated enrollment eligibility</w:t>
              <w:br/>
              <w:t>• Supervised device enrollment posture</w:t>
              <w:br/>
              <w:t>• Apple-side business enrollment trust and token lifecycle</w:t>
            </w:r>
          </w:p>
        </w:tc>
      </w:tr>
      <w:tr>
        <w:tc>
          <w:tcPr>
            <w:tcW w:type="dxa" w:w="2131"/>
          </w:tcPr>
          <w:p>
            <w:pPr>
              <w:pStyle w:val="TableText"/>
              <w:jc w:val="center"/>
            </w:pPr>
            <w:r>
              <w:rPr>
                <w:b/>
              </w:rPr>
              <w:t>NinjaOne</w:t>
            </w:r>
          </w:p>
        </w:tc>
        <w:tc>
          <w:tcPr>
            <w:tcW w:type="dxa" w:w="7632"/>
          </w:tcPr>
          <w:p>
            <w:pPr>
              <w:pStyle w:val="TableText"/>
            </w:pPr>
            <w:r>
              <w:t>• Endpoint post-enrollment standardization</w:t>
              <w:br/>
              <w:t>• Software deployment</w:t>
              <w:br/>
              <w:t>• Scripted configuration</w:t>
              <w:br/>
              <w:t>• Validation and remediation steps after enrollment</w:t>
            </w:r>
          </w:p>
        </w:tc>
      </w:tr>
      <w:tr>
        <w:tc>
          <w:tcPr>
            <w:tcW w:type="dxa" w:w="2131"/>
          </w:tcPr>
          <w:p>
            <w:pPr>
              <w:pStyle w:val="TableText"/>
              <w:jc w:val="center"/>
            </w:pPr>
            <w:r>
              <w:rPr>
                <w:b/>
              </w:rPr>
              <w:t>HB Intel</w:t>
            </w:r>
          </w:p>
        </w:tc>
        <w:tc>
          <w:tcPr>
            <w:tcW w:type="dxa" w:w="7632"/>
          </w:tcPr>
          <w:p>
            <w:pPr>
              <w:pStyle w:val="TableText"/>
            </w:pPr>
            <w:r>
              <w:t>• Package orchestration</w:t>
              <w:br/>
              <w:t>• Connector configuration UX</w:t>
              <w:br/>
              <w:t>• Readiness validation</w:t>
              <w:br/>
              <w:t>• Parent and child run tracking</w:t>
              <w:br/>
              <w:t>• Evidence, audit, and status visibility</w:t>
              <w:br/>
              <w:t>• Recovery guidance</w:t>
            </w:r>
          </w:p>
        </w:tc>
      </w:tr>
    </w:tbl>
    <w:p>
      <w:pPr>
        <w:pStyle w:val="Heading1"/>
        <w:keepNext/>
        <w:keepLines/>
      </w:pPr>
      <w:r>
        <w:t>3. High-level setup order</w:t>
      </w:r>
    </w:p>
    <w:p>
      <w:pPr/>
      <w:r>
        <w:rPr>
          <w:b/>
        </w:rPr>
        <w:t xml:space="preserve">Use this sequence. </w:t>
      </w:r>
      <w:r>
        <w:t>Do not skip the readiness-validation steps or move directly into production launches.</w:t>
      </w:r>
    </w:p>
    <w:p>
      <w:pPr>
        <w:pStyle w:val="ListTight"/>
      </w:pPr>
      <w:r>
        <w:t>Confirm Microsoft licensing and Intune readiness.</w:t>
      </w:r>
    </w:p>
    <w:p>
      <w:pPr>
        <w:pStyle w:val="ListTight"/>
      </w:pPr>
      <w:r>
        <w:t>Confirm Entra ID and Graph permission posture.</w:t>
      </w:r>
    </w:p>
    <w:p>
      <w:pPr>
        <w:pStyle w:val="ListTight"/>
      </w:pPr>
      <w:r>
        <w:t>Configure Windows Autopilot prerequisites.</w:t>
      </w:r>
    </w:p>
    <w:p>
      <w:pPr>
        <w:pStyle w:val="ListTight"/>
      </w:pPr>
      <w:r>
        <w:t>Configure Apple Business Manager.</w:t>
      </w:r>
    </w:p>
    <w:p>
      <w:pPr>
        <w:pStyle w:val="ListTight"/>
      </w:pPr>
      <w:r>
        <w:t>Configure Apple APNs and Intune Apple enrollment.</w:t>
      </w:r>
    </w:p>
    <w:p>
      <w:pPr>
        <w:pStyle w:val="ListTight"/>
      </w:pPr>
      <w:r>
        <w:t>Prepare NinjaOne API access and endpoint standards.</w:t>
      </w:r>
    </w:p>
    <w:p>
      <w:pPr>
        <w:pStyle w:val="ListTight"/>
      </w:pPr>
      <w:r>
        <w:t>Load connector settings into HB Intel Admin SPFx.</w:t>
      </w:r>
    </w:p>
    <w:p>
      <w:pPr>
        <w:pStyle w:val="ListTight"/>
      </w:pPr>
      <w:r>
        <w:t>Run readiness probes.</w:t>
      </w:r>
    </w:p>
    <w:p>
      <w:pPr>
        <w:pStyle w:val="ListTight"/>
      </w:pPr>
      <w:r>
        <w:t>Configure package templates and standards.</w:t>
      </w:r>
    </w:p>
    <w:p>
      <w:pPr>
        <w:pStyle w:val="ListTight"/>
      </w:pPr>
      <w:r>
        <w:t>Execute a controlled first-use validation run.</w:t>
      </w:r>
    </w:p>
    <w:p>
      <w:pPr>
        <w:pStyle w:val="Heading1"/>
        <w:keepNext/>
        <w:keepLines/>
      </w:pPr>
      <w:r>
        <w:t>4. Microsoft prerequisites</w:t>
      </w:r>
    </w:p>
    <w:p>
      <w:pPr>
        <w:pStyle w:val="Heading2"/>
        <w:keepNext/>
        <w:keepLines/>
      </w:pPr>
      <w:r>
        <w:t>4.1 Licensing and tenant readiness</w:t>
      </w:r>
    </w:p>
    <w:p>
      <w:pPr/>
      <w:r>
        <w:t>Confirm the tenant has the required Microsoft licensing and service posture to support Intune device management, Entra device join, Windows Autopilot workflows, and the Graph-based app permissions used by the control plane.</w:t>
      </w:r>
    </w:p>
    <w:p>
      <w:pPr>
        <w:pStyle w:val="ListTight"/>
      </w:pPr>
      <w:r>
        <w:t>Confirm the planned user and device population is licensed for the Intune and Entra capabilities required for enrollment and device management.</w:t>
      </w:r>
    </w:p>
    <w:p>
      <w:pPr>
        <w:pStyle w:val="ListTight"/>
      </w:pPr>
      <w:r>
        <w:t>Document the licensing owner and the process used to validate future entitlement changes before production rollout.</w:t>
      </w:r>
    </w:p>
    <w:p>
      <w:pPr>
        <w:pStyle w:val="Heading2"/>
        <w:keepNext/>
        <w:keepLines/>
      </w:pPr>
      <w:r>
        <w:t>4.2 Intune readiness</w:t>
      </w:r>
    </w:p>
    <w:p>
      <w:pPr>
        <w:pStyle w:val="ListTight"/>
      </w:pPr>
      <w:r>
        <w:t>Intune is active and available in the tenant.</w:t>
      </w:r>
    </w:p>
    <w:p>
      <w:pPr>
        <w:pStyle w:val="ListTight"/>
      </w:pPr>
      <w:r>
        <w:t>MDM authority is established.</w:t>
      </w:r>
    </w:p>
    <w:p>
      <w:pPr>
        <w:pStyle w:val="ListTight"/>
      </w:pPr>
      <w:r>
        <w:t>Device platform restrictions and enrollment restrictions are reviewed.</w:t>
      </w:r>
    </w:p>
    <w:p>
      <w:pPr>
        <w:pStyle w:val="ListTight"/>
      </w:pPr>
      <w:r>
        <w:t>Device groups needed for deployment profiles and compliance-policy assignment are prepared.</w:t>
      </w:r>
    </w:p>
    <w:p>
      <w:pPr>
        <w:pStyle w:val="ListTight"/>
      </w:pPr>
      <w:r>
        <w:t>Naming conventions for device groups, device categories, and deployment profiles are defined.</w:t>
      </w:r>
    </w:p>
    <w:p>
      <w:pPr>
        <w:pStyle w:val="Heading2"/>
        <w:keepNext/>
        <w:keepLines/>
      </w:pPr>
      <w:r>
        <w:t>4.3 Entra and Graph readiness</w:t>
      </w:r>
    </w:p>
    <w:p>
      <w:pPr>
        <w:pStyle w:val="ListTight"/>
      </w:pPr>
      <w:r>
        <w:t>The backend control plane has the required app-registration or managed-identity design approved.</w:t>
      </w:r>
    </w:p>
    <w:p>
      <w:pPr>
        <w:pStyle w:val="ListTight"/>
      </w:pPr>
      <w:r>
        <w:t>Graph permissions required by the implementation are approved by IT.</w:t>
      </w:r>
    </w:p>
    <w:p>
      <w:pPr>
        <w:pStyle w:val="ListTight"/>
      </w:pPr>
      <w:r>
        <w:t>The approved permission model is documented.</w:t>
      </w:r>
    </w:p>
    <w:p>
      <w:pPr>
        <w:pStyle w:val="ListTight"/>
      </w:pPr>
      <w:r>
        <w:t>Privileged secrets or certificates are stored in the approved secret store.</w:t>
      </w:r>
    </w:p>
    <w:p>
      <w:pPr>
        <w:pStyle w:val="ListTight"/>
      </w:pPr>
      <w:r>
        <w:t>Least-privilege review is completed before production enablement.</w:t>
      </w:r>
    </w:p>
    <w:p>
      <w:pPr>
        <w:pStyle w:val="Heading2"/>
        <w:keepNext/>
        <w:keepLines/>
      </w:pPr>
      <w:r>
        <w:t>4.4 Windows Autopilot prerequisites</w:t>
      </w:r>
    </w:p>
    <w:p>
      <w:pPr>
        <w:pStyle w:val="ListTight"/>
      </w:pPr>
      <w:r>
        <w:t>Corporate Windows devices are eligible for Autopilot.</w:t>
      </w:r>
    </w:p>
    <w:p>
      <w:pPr>
        <w:pStyle w:val="ListTight"/>
      </w:pPr>
      <w:r>
        <w:t>The hardware-hash or OEM/reseller registration path is defined.</w:t>
      </w:r>
    </w:p>
    <w:p>
      <w:pPr>
        <w:pStyle w:val="ListTight"/>
      </w:pPr>
      <w:r>
        <w:t>The Autopilot device-import process is documented.</w:t>
      </w:r>
    </w:p>
    <w:p>
      <w:pPr>
        <w:pStyle w:val="ListTight"/>
      </w:pPr>
      <w:r>
        <w:t>Deployment profiles are created and named consistently.</w:t>
      </w:r>
    </w:p>
    <w:p>
      <w:pPr>
        <w:pStyle w:val="ListTight"/>
      </w:pPr>
      <w:r>
        <w:t>Enrollment Status Page behavior is reviewed.</w:t>
      </w:r>
    </w:p>
    <w:p>
      <w:pPr>
        <w:pStyle w:val="ListTight"/>
      </w:pPr>
      <w:r>
        <w:t>Technician-assisted pre-provisioning is enabled for white-glove Windows builds.</w:t>
      </w:r>
    </w:p>
    <w:p>
      <w:pPr>
        <w:pStyle w:val="ListTight"/>
      </w:pPr>
      <w:r>
        <w:t>Target device groups are assigned correctly.</w:t>
      </w:r>
    </w:p>
    <w:p>
      <w:pPr>
        <w:pStyle w:val="Heading2"/>
        <w:keepNext/>
        <w:keepLines/>
      </w:pPr>
      <w:r>
        <w:t>4.5 Windows device package standards</w:t>
      </w:r>
    </w:p>
    <w:p>
      <w:pPr>
        <w:pStyle w:val="ListTight"/>
      </w:pPr>
      <w:r>
        <w:t>Standard device names or naming logic.</w:t>
      </w:r>
    </w:p>
    <w:p>
      <w:pPr>
        <w:pStyle w:val="ListTight"/>
      </w:pPr>
      <w:r>
        <w:t>Standard local-admin and privilege policy.</w:t>
      </w:r>
    </w:p>
    <w:p>
      <w:pPr>
        <w:pStyle w:val="ListTight"/>
      </w:pPr>
      <w:r>
        <w:t>Standard required apps.</w:t>
      </w:r>
    </w:p>
    <w:p>
      <w:pPr>
        <w:pStyle w:val="ListTight"/>
      </w:pPr>
      <w:r>
        <w:t>Standard required compliance policy.</w:t>
      </w:r>
    </w:p>
    <w:p>
      <w:pPr>
        <w:pStyle w:val="ListTight"/>
      </w:pPr>
      <w:r>
        <w:t>Standard required configuration profiles.</w:t>
      </w:r>
    </w:p>
    <w:p>
      <w:pPr>
        <w:pStyle w:val="ListTight"/>
      </w:pPr>
      <w:r>
        <w:t>Standard security baseline.</w:t>
      </w:r>
    </w:p>
    <w:p>
      <w:pPr>
        <w:pStyle w:val="ListTight"/>
      </w:pPr>
      <w:r>
        <w:t>Standard BitLocker posture, if applicable.</w:t>
      </w:r>
    </w:p>
    <w:p>
      <w:pPr>
        <w:pStyle w:val="ListTight"/>
      </w:pPr>
      <w:r>
        <w:t>Standard Windows Update ring or patching posture.</w:t>
      </w:r>
    </w:p>
    <w:p>
      <w:pPr>
        <w:pStyle w:val="Heading1"/>
        <w:keepNext/>
        <w:keepLines/>
      </w:pPr>
      <w:r>
        <w:t>5. Apple prerequisites</w:t>
      </w:r>
    </w:p>
    <w:p>
      <w:pPr>
        <w:pStyle w:val="Heading2"/>
        <w:keepNext/>
        <w:keepLines/>
      </w:pPr>
      <w:r>
        <w:t>5.1 Apple Business Manager readiness</w:t>
      </w:r>
    </w:p>
    <w:p>
      <w:pPr>
        <w:pStyle w:val="ListTight"/>
      </w:pPr>
      <w:r>
        <w:t>Apple Business Manager tenant exists and is active.</w:t>
      </w:r>
    </w:p>
    <w:p>
      <w:pPr>
        <w:pStyle w:val="ListTight"/>
      </w:pPr>
      <w:r>
        <w:t>The organization’s Apple-admin ownership is clear.</w:t>
      </w:r>
    </w:p>
    <w:p>
      <w:pPr>
        <w:pStyle w:val="ListTight"/>
      </w:pPr>
      <w:r>
        <w:t>A dedicated managed Apple account is used for lifecycle-sensitive tokens where possible.</w:t>
      </w:r>
    </w:p>
    <w:p>
      <w:pPr>
        <w:pStyle w:val="ListTight"/>
      </w:pPr>
      <w:r>
        <w:t>The team understands annual token-renewal requirements.</w:t>
      </w:r>
    </w:p>
    <w:p>
      <w:pPr>
        <w:pStyle w:val="Heading2"/>
        <w:keepNext/>
        <w:keepLines/>
      </w:pPr>
      <w:r>
        <w:t>5.2 Device sourcing and assignment</w:t>
      </w:r>
    </w:p>
    <w:p>
      <w:pPr>
        <w:pStyle w:val="ListTight"/>
      </w:pPr>
      <w:r>
        <w:t>Confirm whether Apple devices are purchased through Apple or an approved reseller and automatically assigned into ABM, or manually added where supported through Apple Configurator for eligible scenarios.</w:t>
      </w:r>
    </w:p>
    <w:p>
      <w:pPr>
        <w:pStyle w:val="ListTight"/>
      </w:pPr>
      <w:r>
        <w:t>Ensure Apple device serials are available and assignable to the intended MDM server.</w:t>
      </w:r>
    </w:p>
    <w:p>
      <w:pPr>
        <w:pStyle w:val="Heading2"/>
        <w:keepNext/>
        <w:keepLines/>
      </w:pPr>
      <w:r>
        <w:t>5.3 APNs and MDM push readiness</w:t>
      </w:r>
    </w:p>
    <w:p>
      <w:pPr>
        <w:pStyle w:val="ListTight"/>
      </w:pPr>
      <w:r>
        <w:t>Apple MDM Push Certificate is present and valid.</w:t>
      </w:r>
    </w:p>
    <w:p>
      <w:pPr>
        <w:pStyle w:val="ListTight"/>
      </w:pPr>
      <w:r>
        <w:t>Renewal owner is documented.</w:t>
      </w:r>
    </w:p>
    <w:p>
      <w:pPr>
        <w:pStyle w:val="ListTight"/>
      </w:pPr>
      <w:r>
        <w:t>Certificate-renewal calendar reminder exists.</w:t>
      </w:r>
    </w:p>
    <w:p>
      <w:pPr>
        <w:pStyle w:val="ListTight"/>
      </w:pPr>
      <w:r>
        <w:t>The Apple-account strategy for renewal is documented to reduce service-interruption risk.</w:t>
      </w:r>
    </w:p>
    <w:p>
      <w:pPr>
        <w:pStyle w:val="Heading2"/>
        <w:keepNext/>
        <w:keepLines/>
      </w:pPr>
      <w:r>
        <w:t>5.4 Intune Apple enrollment readiness</w:t>
      </w:r>
    </w:p>
    <w:p>
      <w:pPr>
        <w:pStyle w:val="ListTight"/>
      </w:pPr>
      <w:r>
        <w:t>Apple enrollment is enabled in Intune.</w:t>
      </w:r>
    </w:p>
    <w:p>
      <w:pPr>
        <w:pStyle w:val="ListTight"/>
      </w:pPr>
      <w:r>
        <w:t>ABM or ASM token is uploaded and active.</w:t>
      </w:r>
    </w:p>
    <w:p>
      <w:pPr>
        <w:pStyle w:val="ListTight"/>
      </w:pPr>
      <w:r>
        <w:t>Apple enrollment profiles are created.</w:t>
      </w:r>
    </w:p>
    <w:p>
      <w:pPr>
        <w:pStyle w:val="ListTight"/>
      </w:pPr>
      <w:r>
        <w:t>User-affinity and non-user-affinity decisions are documented where relevant.</w:t>
      </w:r>
    </w:p>
    <w:p>
      <w:pPr>
        <w:pStyle w:val="ListTight"/>
      </w:pPr>
      <w:r>
        <w:t>iPhone and iPad policy differences are documented.</w:t>
      </w:r>
    </w:p>
    <w:p>
      <w:pPr>
        <w:pStyle w:val="ListTight"/>
      </w:pPr>
      <w:r>
        <w:t>macOS ADE posture is documented.</w:t>
      </w:r>
    </w:p>
    <w:p>
      <w:pPr>
        <w:pStyle w:val="ListTight"/>
      </w:pPr>
      <w:r>
        <w:t>Company Portal, Setup Assistant, and SSO path decisions are documented.</w:t>
      </w:r>
    </w:p>
    <w:p>
      <w:pPr>
        <w:pStyle w:val="Heading2"/>
        <w:keepNext/>
        <w:keepLines/>
      </w:pPr>
      <w:r>
        <w:t>5.5 Apple package standards</w:t>
      </w:r>
    </w:p>
    <w:p>
      <w:pPr>
        <w:pStyle w:val="ListTight"/>
      </w:pPr>
      <w:r>
        <w:t>iPhone baseline app set.</w:t>
      </w:r>
    </w:p>
    <w:p>
      <w:pPr>
        <w:pStyle w:val="ListTight"/>
      </w:pPr>
      <w:r>
        <w:t>iPad baseline app set.</w:t>
      </w:r>
    </w:p>
    <w:p>
      <w:pPr>
        <w:pStyle w:val="ListTight"/>
      </w:pPr>
      <w:r>
        <w:t>macOS baseline app set.</w:t>
      </w:r>
    </w:p>
    <w:p>
      <w:pPr>
        <w:pStyle w:val="ListTight"/>
      </w:pPr>
      <w:r>
        <w:t>Supervised-device expectations.</w:t>
      </w:r>
    </w:p>
    <w:p>
      <w:pPr>
        <w:pStyle w:val="ListTight"/>
      </w:pPr>
      <w:r>
        <w:t>Configuration-profile set.</w:t>
      </w:r>
    </w:p>
    <w:p>
      <w:pPr>
        <w:pStyle w:val="ListTight"/>
      </w:pPr>
      <w:r>
        <w:t>Compliance-policy set.</w:t>
      </w:r>
    </w:p>
    <w:p>
      <w:pPr>
        <w:pStyle w:val="ListTight"/>
      </w:pPr>
      <w:r>
        <w:t>Wi-Fi, VPN, and certificate dependencies as needed.</w:t>
      </w:r>
    </w:p>
    <w:p>
      <w:pPr>
        <w:pStyle w:val="ListTight"/>
      </w:pPr>
      <w:r>
        <w:t>Apple-specific activation and handoff expectations for field and office users.</w:t>
      </w:r>
    </w:p>
    <w:p>
      <w:pPr>
        <w:pStyle w:val="Heading1"/>
        <w:keepNext/>
        <w:keepLines/>
      </w:pPr>
      <w:r>
        <w:t>6. NinjaOne prerequisites</w:t>
      </w:r>
    </w:p>
    <w:p>
      <w:pPr>
        <w:pStyle w:val="Heading2"/>
        <w:keepNext/>
        <w:keepLines/>
      </w:pPr>
      <w:r>
        <w:t>6.1 Platform access</w:t>
      </w:r>
    </w:p>
    <w:p>
      <w:pPr>
        <w:pStyle w:val="ListTight"/>
      </w:pPr>
      <w:r>
        <w:t>System-admin access exists.</w:t>
      </w:r>
    </w:p>
    <w:p>
      <w:pPr>
        <w:pStyle w:val="ListTight"/>
      </w:pPr>
      <w:r>
        <w:t>API access is approved.</w:t>
      </w:r>
    </w:p>
    <w:p>
      <w:pPr>
        <w:pStyle w:val="ListTight"/>
      </w:pPr>
      <w:r>
        <w:t>OAuth or token strategy is approved and documented.</w:t>
      </w:r>
    </w:p>
    <w:p>
      <w:pPr>
        <w:pStyle w:val="ListTight"/>
      </w:pPr>
      <w:r>
        <w:t>The backend system identity that will call NinjaOne is approved.</w:t>
      </w:r>
    </w:p>
    <w:p>
      <w:pPr>
        <w:pStyle w:val="Heading2"/>
        <w:keepNext/>
        <w:keepLines/>
      </w:pPr>
      <w:r>
        <w:t>6.2 Standardization model</w:t>
      </w:r>
    </w:p>
    <w:p>
      <w:pPr>
        <w:pStyle w:val="ListTight"/>
      </w:pPr>
      <w:r>
        <w:t>Baseline scripts for new laptop and desktop builds.</w:t>
      </w:r>
    </w:p>
    <w:p>
      <w:pPr>
        <w:pStyle w:val="ListTight"/>
      </w:pPr>
      <w:r>
        <w:t>Baseline scripts for macOS support, if applicable.</w:t>
      </w:r>
    </w:p>
    <w:p>
      <w:pPr>
        <w:pStyle w:val="ListTight"/>
      </w:pPr>
      <w:r>
        <w:t>Software bundles by package type.</w:t>
      </w:r>
    </w:p>
    <w:p>
      <w:pPr>
        <w:pStyle w:val="ListTight"/>
      </w:pPr>
      <w:r>
        <w:t>Policy bundles by package type.</w:t>
      </w:r>
    </w:p>
    <w:p>
      <w:pPr>
        <w:pStyle w:val="ListTight"/>
      </w:pPr>
      <w:r>
        <w:t>Validation scripts or checks used to confirm a device reached standard.</w:t>
      </w:r>
    </w:p>
    <w:p>
      <w:pPr>
        <w:pStyle w:val="ListTight"/>
      </w:pPr>
      <w:r>
        <w:t>Any required custom fields or tags used to map package metadata.</w:t>
      </w:r>
    </w:p>
    <w:p>
      <w:pPr>
        <w:pStyle w:val="Heading2"/>
        <w:keepNext/>
        <w:keepLines/>
      </w:pPr>
      <w:r>
        <w:t>6.3 Operational data model</w:t>
      </w:r>
    </w:p>
    <w:p>
      <w:pPr>
        <w:pStyle w:val="ListTight"/>
      </w:pPr>
      <w:r>
        <w:t>Package type.</w:t>
      </w:r>
    </w:p>
    <w:p>
      <w:pPr>
        <w:pStyle w:val="ListTight"/>
      </w:pPr>
      <w:r>
        <w:t>Device role.</w:t>
      </w:r>
    </w:p>
    <w:p>
      <w:pPr>
        <w:pStyle w:val="ListTight"/>
      </w:pPr>
      <w:r>
        <w:t>User assignment.</w:t>
      </w:r>
    </w:p>
    <w:p>
      <w:pPr>
        <w:pStyle w:val="ListTight"/>
      </w:pPr>
      <w:r>
        <w:t>Office versus field designation, if relevant.</w:t>
      </w:r>
    </w:p>
    <w:p>
      <w:pPr>
        <w:pStyle w:val="ListTight"/>
      </w:pPr>
      <w:r>
        <w:t>Software bundle.</w:t>
      </w:r>
    </w:p>
    <w:p>
      <w:pPr>
        <w:pStyle w:val="ListTight"/>
      </w:pPr>
      <w:r>
        <w:t>Policy bundle.</w:t>
      </w:r>
    </w:p>
    <w:p>
      <w:pPr>
        <w:pStyle w:val="ListTight"/>
      </w:pPr>
      <w:r>
        <w:t>Validation bundle.</w:t>
      </w:r>
    </w:p>
    <w:p>
      <w:pPr>
        <w:pStyle w:val="ListTight"/>
      </w:pPr>
      <w:r>
        <w:t>Escalation label or service-desk routing tag, if applicable.</w:t>
      </w:r>
    </w:p>
    <w:p>
      <w:pPr>
        <w:pStyle w:val="Heading2"/>
        <w:keepNext/>
        <w:keepLines/>
      </w:pPr>
      <w:r>
        <w:t>6.4 Production readiness</w:t>
      </w:r>
    </w:p>
    <w:p>
      <w:pPr>
        <w:pStyle w:val="ListTight"/>
      </w:pPr>
      <w:r>
        <w:t>Scripts are tested in a non-production set.</w:t>
      </w:r>
    </w:p>
    <w:p>
      <w:pPr>
        <w:pStyle w:val="ListTight"/>
      </w:pPr>
      <w:r>
        <w:t>Software packages install cleanly.</w:t>
      </w:r>
    </w:p>
    <w:p>
      <w:pPr>
        <w:pStyle w:val="ListTight"/>
      </w:pPr>
      <w:r>
        <w:t>Policy conflicts are understood.</w:t>
      </w:r>
    </w:p>
    <w:p>
      <w:pPr>
        <w:pStyle w:val="ListTight"/>
      </w:pPr>
      <w:r>
        <w:t>Technicians know which failures are handled by NinjaOne remediation versus HB Intel operator action.</w:t>
      </w:r>
    </w:p>
    <w:p>
      <w:pPr>
        <w:pStyle w:val="Heading1"/>
        <w:keepNext/>
        <w:keepLines/>
      </w:pPr>
      <w:r>
        <w:t>7. HB Intel setup inside the Admin app</w:t>
      </w:r>
    </w:p>
    <w:p>
      <w:pPr>
        <w:pStyle w:val="Heading2"/>
        <w:keepNext/>
        <w:keepLines/>
      </w:pPr>
      <w:r>
        <w:t>7.1 Connector setup</w:t>
      </w:r>
    </w:p>
    <w:p>
      <w:pPr>
        <w:pStyle w:val="ListTight"/>
      </w:pPr>
      <w:r>
        <w:t>Enter Microsoft connection and identity-configuration details.</w:t>
      </w:r>
    </w:p>
    <w:p>
      <w:pPr>
        <w:pStyle w:val="ListTight"/>
      </w:pPr>
      <w:r>
        <w:t>Validate Microsoft connector health.</w:t>
      </w:r>
    </w:p>
    <w:p>
      <w:pPr>
        <w:pStyle w:val="ListTight"/>
      </w:pPr>
      <w:r>
        <w:t>Enter Apple connector or token metadata and validate readiness.</w:t>
      </w:r>
    </w:p>
    <w:p>
      <w:pPr>
        <w:pStyle w:val="ListTight"/>
      </w:pPr>
      <w:r>
        <w:t>Enter NinjaOne API or OAuth settings and validate connectivity.</w:t>
      </w:r>
    </w:p>
    <w:p>
      <w:pPr>
        <w:pStyle w:val="ListTight"/>
      </w:pPr>
      <w:r>
        <w:t>View last successful validation time.</w:t>
      </w:r>
    </w:p>
    <w:p>
      <w:pPr>
        <w:pStyle w:val="ListTight"/>
      </w:pPr>
      <w:r>
        <w:t>View failure messages and remediation guidance.</w:t>
      </w:r>
    </w:p>
    <w:p>
      <w:pPr>
        <w:pStyle w:val="Heading2"/>
        <w:keepNext/>
        <w:keepLines/>
      </w:pPr>
      <w:r>
        <w:t>7.2 Standards and template setup</w:t>
      </w:r>
    </w:p>
    <w:p>
      <w:pPr>
        <w:pStyle w:val="ListTight"/>
      </w:pPr>
      <w:r>
        <w:t>Define or confirm the six employee package templates.</w:t>
      </w:r>
    </w:p>
    <w:p>
      <w:pPr>
        <w:pStyle w:val="ListTight"/>
      </w:pPr>
      <w:r>
        <w:t>Map each package to platform-specific standards bundles.</w:t>
      </w:r>
    </w:p>
    <w:p>
      <w:pPr>
        <w:pStyle w:val="ListTight"/>
      </w:pPr>
      <w:r>
        <w:t>Map Microsoft standards for Windows devices.</w:t>
      </w:r>
    </w:p>
    <w:p>
      <w:pPr>
        <w:pStyle w:val="ListTight"/>
      </w:pPr>
      <w:r>
        <w:t>Map Apple standards for Apple devices.</w:t>
      </w:r>
    </w:p>
    <w:p>
      <w:pPr>
        <w:pStyle w:val="ListTight"/>
      </w:pPr>
      <w:r>
        <w:t>Map NinjaOne post-enrollment bundles.</w:t>
      </w:r>
    </w:p>
    <w:p>
      <w:pPr>
        <w:pStyle w:val="ListTight"/>
      </w:pPr>
      <w:r>
        <w:t>Set checkpoint policies where needed.</w:t>
      </w:r>
    </w:p>
    <w:p>
      <w:pPr>
        <w:pStyle w:val="ListTight"/>
      </w:pPr>
      <w:r>
        <w:t>Review governed version history.</w:t>
      </w:r>
    </w:p>
    <w:p>
      <w:pPr>
        <w:pStyle w:val="Heading2"/>
        <w:keepNext/>
        <w:keepLines/>
      </w:pPr>
      <w:r>
        <w:t>7.3 First-use readiness checks</w:t>
      </w:r>
    </w:p>
    <w:p>
      <w:pPr>
        <w:pStyle w:val="ListTight"/>
      </w:pPr>
      <w:r>
        <w:t>Microsoft connector validation.</w:t>
      </w:r>
    </w:p>
    <w:p>
      <w:pPr>
        <w:pStyle w:val="ListTight"/>
      </w:pPr>
      <w:r>
        <w:t>Apple connector validation.</w:t>
      </w:r>
    </w:p>
    <w:p>
      <w:pPr>
        <w:pStyle w:val="ListTight"/>
      </w:pPr>
      <w:r>
        <w:t>NinjaOne connector validation.</w:t>
      </w:r>
    </w:p>
    <w:p>
      <w:pPr>
        <w:pStyle w:val="ListTight"/>
      </w:pPr>
      <w:r>
        <w:t>Package-template completeness.</w:t>
      </w:r>
    </w:p>
    <w:p>
      <w:pPr>
        <w:pStyle w:val="ListTight"/>
      </w:pPr>
      <w:r>
        <w:t>Required policy, bundle, and assignment references.</w:t>
      </w:r>
    </w:p>
    <w:p>
      <w:pPr>
        <w:pStyle w:val="ListTight"/>
      </w:pPr>
      <w:r>
        <w:t>Run-store and audit-store health.</w:t>
      </w:r>
    </w:p>
    <w:p>
      <w:pPr>
        <w:pStyle w:val="ListTight"/>
      </w:pPr>
      <w:r>
        <w:t>Notification and operator-visibility checks.</w:t>
      </w:r>
    </w:p>
    <w:p>
      <w:pPr>
        <w:pStyle w:val="Heading1"/>
        <w:keepNext/>
        <w:keepLines/>
      </w:pPr>
      <w:r>
        <w:t>8. First-use validation workflow</w:t>
      </w:r>
    </w:p>
    <w:p>
      <w:pPr/>
      <w:r>
        <w:t>Perform a controlled first-use validation before any production rollout.</w:t>
      </w:r>
    </w:p>
    <w:p>
      <w:pPr>
        <w:pStyle w:val="Heading2"/>
        <w:keepNext/>
        <w:keepLines/>
      </w:pPr>
      <w:r>
        <w:t>8.1 Controlled test target</w:t>
      </w:r>
    </w:p>
    <w:p>
      <w:pPr/>
      <w:r>
        <w:t>Use a non-production test target that represents a real package path. Recommended validation sequence:</w:t>
      </w:r>
    </w:p>
    <w:p>
      <w:pPr>
        <w:pStyle w:val="ListTight"/>
      </w:pPr>
      <w:r>
        <w:t>One Windows package.</w:t>
      </w:r>
    </w:p>
    <w:p>
      <w:pPr>
        <w:pStyle w:val="ListTight"/>
      </w:pPr>
      <w:r>
        <w:t>One Apple package.</w:t>
      </w:r>
    </w:p>
    <w:p>
      <w:pPr>
        <w:pStyle w:val="ListTight"/>
      </w:pPr>
      <w:r>
        <w:t>One mixed-device package.</w:t>
      </w:r>
    </w:p>
    <w:p>
      <w:pPr>
        <w:pStyle w:val="Heading2"/>
        <w:keepNext/>
        <w:keepLines/>
      </w:pPr>
      <w:r>
        <w:t>8.2 End-to-end behaviors to validate</w:t>
      </w:r>
    </w:p>
    <w:p>
      <w:pPr>
        <w:pStyle w:val="ListTight"/>
      </w:pPr>
      <w:r>
        <w:t>Package launch works from SPFx.</w:t>
      </w:r>
    </w:p>
    <w:p>
      <w:pPr>
        <w:pStyle w:val="ListTight"/>
      </w:pPr>
      <w:r>
        <w:t>Readiness validation blocks incomplete environments.</w:t>
      </w:r>
    </w:p>
    <w:p>
      <w:pPr>
        <w:pStyle w:val="ListTight"/>
      </w:pPr>
      <w:r>
        <w:t>Backend run starts correctly.</w:t>
      </w:r>
    </w:p>
    <w:p>
      <w:pPr>
        <w:pStyle w:val="ListTight"/>
      </w:pPr>
      <w:r>
        <w:t>Connector snapshots are recorded.</w:t>
      </w:r>
    </w:p>
    <w:p>
      <w:pPr>
        <w:pStyle w:val="ListTight"/>
      </w:pPr>
      <w:r>
        <w:t>Child device runs are created.</w:t>
      </w:r>
    </w:p>
    <w:p>
      <w:pPr>
        <w:pStyle w:val="ListTight"/>
      </w:pPr>
      <w:r>
        <w:t>Checkpoints surface correctly.</w:t>
      </w:r>
    </w:p>
    <w:p>
      <w:pPr>
        <w:pStyle w:val="ListTight"/>
      </w:pPr>
      <w:r>
        <w:t>Downstream statuses normalize correctly.</w:t>
      </w:r>
    </w:p>
    <w:p>
      <w:pPr>
        <w:pStyle w:val="ListTight"/>
      </w:pPr>
      <w:r>
        <w:t>NinjaOne post-enrollment actions trigger correctly.</w:t>
      </w:r>
    </w:p>
    <w:p>
      <w:pPr>
        <w:pStyle w:val="ListTight"/>
      </w:pPr>
      <w:r>
        <w:t>Evidence and audit records are visible in Admin SPFx.</w:t>
      </w:r>
    </w:p>
    <w:p>
      <w:pPr>
        <w:pStyle w:val="Heading2"/>
        <w:keepNext/>
        <w:keepLines/>
      </w:pPr>
      <w:r>
        <w:t>8.3 Recovery behavior to validate</w:t>
      </w:r>
    </w:p>
    <w:p>
      <w:pPr>
        <w:pStyle w:val="ListTight"/>
      </w:pPr>
      <w:r>
        <w:t>Readable error messages.</w:t>
      </w:r>
    </w:p>
    <w:p>
      <w:pPr>
        <w:pStyle w:val="ListTight"/>
      </w:pPr>
      <w:r>
        <w:t>Retry guidance.</w:t>
      </w:r>
    </w:p>
    <w:p>
      <w:pPr>
        <w:pStyle w:val="ListTight"/>
      </w:pPr>
      <w:r>
        <w:t>Repair guidance.</w:t>
      </w:r>
    </w:p>
    <w:p>
      <w:pPr>
        <w:pStyle w:val="ListTight"/>
      </w:pPr>
      <w:r>
        <w:t>Checkpoint pause behavior.</w:t>
      </w:r>
    </w:p>
    <w:p>
      <w:pPr>
        <w:pStyle w:val="ListTight"/>
      </w:pPr>
      <w:r>
        <w:t>Evidence persistence on partial failure.</w:t>
      </w:r>
    </w:p>
    <w:p>
      <w:pPr>
        <w:pStyle w:val="ListTight"/>
      </w:pPr>
      <w:r>
        <w:t>Operator attribution for recovery actions.</w:t>
      </w:r>
    </w:p>
    <w:p>
      <w:pPr>
        <w:pStyle w:val="Heading1"/>
        <w:keepNext/>
        <w:keepLines/>
      </w:pPr>
      <w:r>
        <w:t>9. Common mistakes to avoid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718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B6C7A" w:val="clear"/>
          </w:tcPr>
          <w:p>
            <w:pPr>
              <w:pStyle w:val="TableHeader"/>
              <w:jc w:val="center"/>
            </w:pPr>
            <w:r>
              <w:t>Area</w:t>
            </w:r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1B6C7A" w:val="clear"/>
          </w:tcPr>
          <w:p>
            <w:pPr>
              <w:pStyle w:val="TableHeader"/>
              <w:jc w:val="center"/>
            </w:pPr>
            <w:r>
              <w:t>Mistakes to avoid</w:t>
            </w:r>
          </w:p>
        </w:tc>
      </w:tr>
      <w:tr>
        <w:tc>
          <w:tcPr>
            <w:tcW w:type="dxa" w:w="2045"/>
          </w:tcPr>
          <w:p>
            <w:pPr>
              <w:pStyle w:val="TableText"/>
              <w:jc w:val="center"/>
            </w:pPr>
            <w:r>
              <w:rPr>
                <w:b/>
              </w:rPr>
              <w:t>Microsoft</w:t>
            </w:r>
          </w:p>
        </w:tc>
        <w:tc>
          <w:tcPr>
            <w:tcW w:type="dxa" w:w="7718"/>
          </w:tcPr>
          <w:p>
            <w:pPr>
              <w:pStyle w:val="TableText"/>
            </w:pPr>
            <w:r>
              <w:t>• Assuming Autopilot can be treated like generic device registration.</w:t>
              <w:br/>
              <w:t>• Using hybrid-first logic when cloud-native Entra join is the intended default.</w:t>
              <w:br/>
              <w:t>• Skipping profile and group-assignment review.</w:t>
              <w:br/>
              <w:t>• Forgetting enrollment restrictions and Enrollment Status Page behavior.</w:t>
              <w:br/>
              <w:t>• Treating Intune and Entra permissions as informal instead of governed.</w:t>
            </w:r>
          </w:p>
        </w:tc>
      </w:tr>
      <w:tr>
        <w:tc>
          <w:tcPr>
            <w:tcW w:type="dxa" w:w="2045"/>
          </w:tcPr>
          <w:p>
            <w:pPr>
              <w:pStyle w:val="TableText"/>
              <w:jc w:val="center"/>
            </w:pPr>
            <w:r>
              <w:rPr>
                <w:b/>
              </w:rPr>
              <w:t>Apple</w:t>
            </w:r>
          </w:p>
        </w:tc>
        <w:tc>
          <w:tcPr>
            <w:tcW w:type="dxa" w:w="7718"/>
          </w:tcPr>
          <w:p>
            <w:pPr>
              <w:pStyle w:val="TableText"/>
            </w:pPr>
            <w:r>
              <w:t>• Failing to plan annual token renewals.</w:t>
              <w:br/>
              <w:t>• Using unmanaged Apple accounts for critical renewal ownership.</w:t>
              <w:br/>
              <w:t>• Assuming all Apple devices can be retroactively made ADE-eligible without the correct path.</w:t>
              <w:br/>
              <w:t>• Treating iPhone, iPad, and macOS as if they have identical enrollment behavior.</w:t>
              <w:br/>
              <w:t>• Skipping supervision and assignment validation.</w:t>
            </w:r>
          </w:p>
        </w:tc>
      </w:tr>
      <w:tr>
        <w:tc>
          <w:tcPr>
            <w:tcW w:type="dxa" w:w="2045"/>
          </w:tcPr>
          <w:p>
            <w:pPr>
              <w:pStyle w:val="TableText"/>
              <w:jc w:val="center"/>
            </w:pPr>
            <w:r>
              <w:rPr>
                <w:b/>
              </w:rPr>
              <w:t>NinjaOne</w:t>
            </w:r>
          </w:p>
        </w:tc>
        <w:tc>
          <w:tcPr>
            <w:tcW w:type="dxa" w:w="7718"/>
          </w:tcPr>
          <w:p>
            <w:pPr>
              <w:pStyle w:val="TableText"/>
            </w:pPr>
            <w:r>
              <w:t>• Using production scripts before controlled testing.</w:t>
              <w:br/>
              <w:t>• Making NinjaOne the source of truth for enrollment ownership.</w:t>
              <w:br/>
              <w:t>• Failing to define the custom-field or tagging strategy.</w:t>
              <w:br/>
              <w:t>• Failing to separate standardization bundles by device package.</w:t>
            </w:r>
          </w:p>
        </w:tc>
      </w:tr>
      <w:tr>
        <w:tc>
          <w:tcPr>
            <w:tcW w:type="dxa" w:w="2045"/>
          </w:tcPr>
          <w:p>
            <w:pPr>
              <w:pStyle w:val="TableText"/>
              <w:jc w:val="center"/>
            </w:pPr>
            <w:r>
              <w:rPr>
                <w:b/>
              </w:rPr>
              <w:t>HB Intel</w:t>
            </w:r>
          </w:p>
        </w:tc>
        <w:tc>
          <w:tcPr>
            <w:tcW w:type="dxa" w:w="7718"/>
          </w:tcPr>
          <w:p>
            <w:pPr>
              <w:pStyle w:val="TableText"/>
            </w:pPr>
            <w:r>
              <w:t>• Entering connection values without validating them.</w:t>
              <w:br/>
              <w:t>• Launching package runs before readiness passes.</w:t>
              <w:br/>
              <w:t>• Editing live standards without governance or version awareness.</w:t>
              <w:br/>
              <w:t>• Expecting SPFx to perform privileged actions directly.</w:t>
            </w:r>
          </w:p>
        </w:tc>
      </w:tr>
    </w:tbl>
    <w:p>
      <w:pPr>
        <w:pStyle w:val="Heading1"/>
        <w:keepNext/>
        <w:keepLines/>
      </w:pPr>
      <w:r>
        <w:t>10. Environment-ready checklist</w:t>
      </w:r>
    </w:p>
    <w:p>
      <w:pPr/>
      <w:r>
        <w:t>The environment is ready for first production use only when all items below are true.</w:t>
      </w:r>
    </w:p>
    <w:p>
      <w:pPr>
        <w:pStyle w:val="Heading2"/>
        <w:keepNext/>
        <w:keepLines/>
      </w:pPr>
      <w:r>
        <w:t>Microsoft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8928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/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Required confirmation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Licensing confirmed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Intune ready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Entra and Graph permissions approved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Autopilot process defined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Windows deployment profiles prepared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Windows standards bundles prepared</w:t>
            </w:r>
          </w:p>
        </w:tc>
      </w:tr>
    </w:tbl>
    <w:p>
      <w:pPr>
        <w:pStyle w:val="Heading2"/>
        <w:keepNext/>
        <w:keepLines/>
      </w:pPr>
      <w:r>
        <w:t>Apple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8928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/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Required confirmation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ABM active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APNs valid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Intune Apple enrollment configured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ADE profiles created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Serial-assignment process documented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Apple standards bundles prepared</w:t>
            </w:r>
          </w:p>
        </w:tc>
      </w:tr>
    </w:tbl>
    <w:p>
      <w:pPr>
        <w:pStyle w:val="Heading2"/>
        <w:keepNext/>
        <w:keepLines/>
      </w:pPr>
      <w:r>
        <w:t>NinjaOne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8928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/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Required confirmation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API or OAuth configured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Software bundles tested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Scripts tested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Policies assigned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Metadata model defined</w:t>
            </w:r>
          </w:p>
        </w:tc>
      </w:tr>
    </w:tbl>
    <w:p>
      <w:pPr>
        <w:pStyle w:val="Heading2"/>
        <w:keepNext/>
        <w:keepLines/>
      </w:pPr>
      <w:r>
        <w:t>HB Intel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8928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/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Required confirmation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Connector settings loaded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All connector-health probes passing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Package templates configured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Standards mapped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Run, audit, and evidence paths validated</w:t>
            </w:r>
          </w:p>
        </w:tc>
      </w:tr>
      <w:tr>
        <w:tc>
          <w:tcPr>
            <w:tcW w:type="dxa" w:w="749"/>
          </w:tcPr>
          <w:p>
            <w:pPr>
              <w:pStyle w:val="TableText"/>
              <w:jc w:val="center"/>
            </w:pPr>
            <w:r>
              <w:t>☐</w:t>
            </w:r>
          </w:p>
        </w:tc>
        <w:tc>
          <w:tcPr>
            <w:tcW w:type="dxa" w:w="8928"/>
          </w:tcPr>
          <w:p>
            <w:pPr>
              <w:pStyle w:val="TableText"/>
            </w:pPr>
            <w:r>
              <w:t>Test execution completed successfully</w:t>
            </w:r>
          </w:p>
        </w:tc>
      </w:tr>
    </w:tbl>
    <w:p>
      <w:pPr>
        <w:pStyle w:val="Heading1"/>
        <w:keepNext/>
        <w:keepLines/>
      </w:pPr>
      <w:r>
        <w:t>11. Operating support model</w:t>
      </w:r>
    </w:p>
    <w:p>
      <w:pPr/>
      <w:r>
        <w:t>Once the feature is live, support ownership should be split as follows.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8"/>
        <w:gridCol w:w="7085"/>
      </w:tblGrid>
      <w:tr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Support owner</w:t>
            </w:r>
          </w:p>
        </w:tc>
        <w:tc>
          <w:tcPr>
            <w:tcW w:type="dxa" w:w="4997"/>
            <w:tcBorders>
              <w:left w:val="single" w:sz="8" w:color="C7D1E0"/>
              <w:top w:val="single" w:sz="8" w:color="C7D1E0"/>
              <w:right w:val="single" w:sz="8" w:color="C7D1E0"/>
              <w:bottom w:val="single" w:sz="8" w:color="C7D1E0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2B62A3" w:val="clear"/>
          </w:tcPr>
          <w:p>
            <w:pPr>
              <w:pStyle w:val="TableHeader"/>
              <w:jc w:val="center"/>
            </w:pPr>
            <w:r>
              <w:t>Primary responsibilities</w:t>
            </w:r>
          </w:p>
        </w:tc>
      </w:tr>
      <w:tr>
        <w:tc>
          <w:tcPr>
            <w:tcW w:type="dxa" w:w="2678"/>
          </w:tcPr>
          <w:p>
            <w:pPr>
              <w:pStyle w:val="TableText"/>
            </w:pPr>
            <w:r>
              <w:rPr>
                <w:b/>
              </w:rPr>
              <w:t>IT operator / technician</w:t>
            </w:r>
          </w:p>
        </w:tc>
        <w:tc>
          <w:tcPr>
            <w:tcW w:type="dxa" w:w="7085"/>
          </w:tcPr>
          <w:p>
            <w:pPr>
              <w:pStyle w:val="TableText"/>
            </w:pPr>
            <w:r>
              <w:t>• Run launches</w:t>
              <w:br/>
              <w:t>• Readiness review</w:t>
              <w:br/>
              <w:t>• Checkpoint handling</w:t>
              <w:br/>
              <w:t>• First-line recovery actions</w:t>
              <w:br/>
              <w:t>• Validation of device completion</w:t>
            </w:r>
          </w:p>
        </w:tc>
      </w:tr>
      <w:tr>
        <w:tc>
          <w:tcPr>
            <w:tcW w:type="dxa" w:w="2678"/>
          </w:tcPr>
          <w:p>
            <w:pPr>
              <w:pStyle w:val="TableText"/>
            </w:pPr>
            <w:r>
              <w:rPr>
                <w:b/>
              </w:rPr>
              <w:t>Platform admin</w:t>
            </w:r>
          </w:p>
        </w:tc>
        <w:tc>
          <w:tcPr>
            <w:tcW w:type="dxa" w:w="7085"/>
          </w:tcPr>
          <w:p>
            <w:pPr>
              <w:pStyle w:val="TableText"/>
            </w:pPr>
            <w:r>
              <w:t>• Connector maintenance</w:t>
              <w:br/>
              <w:t>• Token renewals</w:t>
              <w:br/>
              <w:t>• Permission posture</w:t>
              <w:br/>
              <w:t>• Standards updates</w:t>
              <w:br/>
              <w:t>• Package-template governance</w:t>
            </w:r>
          </w:p>
        </w:tc>
      </w:tr>
      <w:tr>
        <w:tc>
          <w:tcPr>
            <w:tcW w:type="dxa" w:w="2678"/>
          </w:tcPr>
          <w:p>
            <w:pPr>
              <w:pStyle w:val="TableText"/>
            </w:pPr>
            <w:r>
              <w:rPr>
                <w:b/>
              </w:rPr>
              <w:t>Development / product support</w:t>
            </w:r>
          </w:p>
        </w:tc>
        <w:tc>
          <w:tcPr>
            <w:tcW w:type="dxa" w:w="7085"/>
          </w:tcPr>
          <w:p>
            <w:pPr>
              <w:pStyle w:val="TableText"/>
            </w:pPr>
            <w:r>
              <w:t>• Adapter defects</w:t>
              <w:br/>
              <w:t>• Data-contract defects</w:t>
              <w:br/>
              <w:t>• Run-store or audit-store failures</w:t>
              <w:br/>
              <w:t>• UI or orchestration defects</w:t>
              <w:br/>
              <w:t>• Cross-system normalization issues</w:t>
            </w:r>
          </w:p>
        </w:tc>
      </w:tr>
    </w:tbl>
    <w:p>
      <w:pPr>
        <w:pStyle w:val="Heading1"/>
        <w:keepNext/>
        <w:keepLines/>
      </w:pPr>
      <w:r>
        <w:t>12. Final operating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DF7F8" w:val="clear"/>
            <w:tcBorders>
              <w:left w:val="single" w:sz="10" w:color="A9D1D6"/>
              <w:top w:val="single" w:sz="10" w:color="A9D1D6"/>
              <w:right w:val="single" w:sz="10" w:color="A9D1D6"/>
              <w:bottom w:val="single" w:sz="10" w:color="A9D1D6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This feature should not be treated as a “one-click magic button.” </w:t>
            </w:r>
            <w:r>
              <w:t>It should be treated as a governed orchestration system that makes the workflow operationally simple for IT while preserving platform-native responsibilities, visibility, and control.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26E"/>
        <w:sz w:val="16"/>
      </w:rPr>
      <w:t xml:space="preserve">IT Department Setup and Enablement Guide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E"/>
        <w:sz w:val="16"/>
      </w:rPr>
      <w:t>HB Intel | White-Glove Device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4" w:lineRule="auto"/>
    </w:pPr>
    <w:rPr>
      <w:rFonts w:ascii="Aptos" w:hAnsi="Aptos"/>
      <w:color w:val="1E23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142B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2B62A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1B6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42B4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 w:line="240" w:lineRule="auto"/>
    </w:pPr>
    <w:rPr>
      <w:rFonts w:asciiTheme="majorHAnsi" w:eastAsiaTheme="majorEastAsia" w:hAnsiTheme="majorHAnsi" w:cstheme="majorBidi" w:ascii="Aptos" w:hAnsi="Aptos"/>
      <w:b w:val="0"/>
      <w:i/>
      <w:iCs/>
      <w:color w:val="5A626E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basedOn w:val="Normal"/>
    <w:pPr>
      <w:spacing w:before="0" w:after="40" w:line="254" w:lineRule="auto"/>
    </w:pPr>
    <w:rPr>
      <w:rFonts w:ascii="Aptos" w:hAnsi="Aptos"/>
      <w:color w:val="5A626E"/>
      <w:sz w:val="17"/>
    </w:rPr>
  </w:style>
  <w:style w:type="paragraph" w:customStyle="1" w:styleId="Callout">
    <w:name w:val="Callout"/>
    <w:basedOn w:val="Normal"/>
    <w:pPr>
      <w:spacing w:before="0" w:after="40" w:line="259" w:lineRule="auto"/>
    </w:pPr>
    <w:rPr>
      <w:rFonts w:ascii="Aptos" w:hAnsi="Aptos"/>
      <w:color w:val="2D343C"/>
      <w:sz w:val="19"/>
    </w:rPr>
  </w:style>
  <w:style w:type="paragraph" w:customStyle="1" w:styleId="ListTight">
    <w:name w:val="ListTight"/>
    <w:basedOn w:val="Normal"/>
    <w:pPr>
      <w:spacing w:before="0" w:after="10" w:line="245" w:lineRule="auto"/>
      <w:ind w:left="259" w:hanging="259"/>
    </w:pPr>
    <w:rPr>
      <w:rFonts w:ascii="Aptos" w:hAnsi="Aptos"/>
      <w:sz w:val="20"/>
    </w:rPr>
  </w:style>
  <w:style w:type="paragraph" w:customStyle="1" w:styleId="TableText">
    <w:name w:val="TableText"/>
    <w:basedOn w:val="Normal"/>
    <w:pPr>
      <w:spacing w:before="0" w:after="0" w:line="240" w:lineRule="auto"/>
    </w:pPr>
    <w:rPr>
      <w:rFonts w:ascii="Aptos" w:hAnsi="Aptos"/>
      <w:sz w:val="18"/>
    </w:rPr>
  </w:style>
  <w:style w:type="paragraph" w:customStyle="1" w:styleId="TableHeader">
    <w:name w:val="TableHeader"/>
    <w:basedOn w:val="Normal"/>
    <w:pPr>
      <w:spacing w:before="0" w:after="0" w:line="240" w:lineRule="auto"/>
    </w:pPr>
    <w:rPr>
      <w:rFonts w:ascii="Aptos" w:hAnsi="Aptos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