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60" w:before="0" w:line="276" w:lineRule="auto"/>
        <w:rPr>
          <w:rFonts w:ascii="Playfair Display" w:cs="Playfair Display" w:eastAsia="Playfair Display" w:hAnsi="Playfair Display"/>
          <w:b w:val="0"/>
          <w:color w:val="000000"/>
          <w:sz w:val="52"/>
          <w:szCs w:val="52"/>
        </w:rPr>
      </w:pPr>
      <w:bookmarkStart w:colFirst="0" w:colLast="0" w:name="_4gpf82bdxlnn" w:id="0"/>
      <w:bookmarkEnd w:id="0"/>
      <w:r w:rsidDel="00000000" w:rsidR="00000000" w:rsidRPr="00000000">
        <w:rPr>
          <w:rFonts w:ascii="Playfair Display" w:cs="Playfair Display" w:eastAsia="Playfair Display" w:hAnsi="Playfair Display"/>
          <w:b w:val="0"/>
          <w:color w:val="000000"/>
          <w:sz w:val="52"/>
          <w:szCs w:val="52"/>
          <w:rtl w:val="0"/>
        </w:rPr>
        <w:t xml:space="preserve">Communication Logs – Milestone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8229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70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80200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666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8720" w:w="122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_GB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