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TU-100 Emulator Quick Reference Card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C757D"/>
          <w:sz w:val="20"/>
          <w:szCs w:val="20"/>
        </w:rPr>
        <w:t xml:space="preserve">Valid valve configurations, refrigerant options, and emulator outputs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Legend:  </w:t>
      </w:r>
      <w:r>
        <w:rPr>
          <w:rFonts w:ascii="Arial" w:cs="Arial" w:eastAsia="Arial" w:hAnsi="Arial"/>
          <w:b/>
          <w:bCs/>
          <w:color w:val="28A745"/>
          <w:sz w:val="18"/>
          <w:szCs w:val="18"/>
        </w:rPr>
        <w:t xml:space="preserve">█ Green (ON)</w:t>
      </w:r>
      <w:r>
        <w:rPr>
          <w:rFonts w:ascii="Arial" w:cs="Arial" w:eastAsia="Arial" w:hAnsi="Arial"/>
          <w:sz w:val="18"/>
          <w:szCs w:val="18"/>
        </w:rPr>
        <w:t xml:space="preserve"> = Valve open / active     </w:t>
      </w:r>
      <w:r>
        <w:rPr>
          <w:rFonts w:ascii="Arial" w:cs="Arial" w:eastAsia="Arial" w:hAnsi="Arial"/>
          <w:b/>
          <w:bCs/>
          <w:color w:val="DC3545"/>
          <w:sz w:val="18"/>
          <w:szCs w:val="18"/>
        </w:rPr>
        <w:t xml:space="preserve">█ Red (OFF)</w:t>
      </w:r>
      <w:r>
        <w:rPr>
          <w:rFonts w:ascii="Arial" w:cs="Arial" w:eastAsia="Arial" w:hAnsi="Arial"/>
          <w:sz w:val="18"/>
          <w:szCs w:val="18"/>
        </w:rPr>
        <w:t xml:space="preserve"> = Valve closed / inactive     </w:t>
      </w:r>
      <w:r>
        <w:rPr>
          <w:rFonts w:ascii="Arial" w:cs="Arial" w:eastAsia="Arial" w:hAnsi="Arial"/>
          <w:i/>
          <w:iCs/>
          <w:color w:val="6C757D"/>
          <w:sz w:val="18"/>
          <w:szCs w:val="18"/>
        </w:rPr>
        <w:t xml:space="preserve">AXV is shown in the UI but is not emulated.</w:t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 Valid Valve Configurations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999"/>
        <w:gridCol w:w="999"/>
        <w:gridCol w:w="999"/>
        <w:gridCol w:w="999"/>
        <w:gridCol w:w="999"/>
        <w:gridCol w:w="999"/>
        <w:gridCol w:w="999"/>
        <w:gridCol w:w="999"/>
        <w:gridCol w:w="999"/>
        <w:gridCol w:w="999"/>
        <w:gridCol w:w="999"/>
        <w:gridCol w:w="999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Configuration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HP1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HP2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HP3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HP4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LRI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LRK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LRB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TXV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CTV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ACI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ACO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ACB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Cooling with TXV,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Liquid Receiver and Accumulator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Heating with TXV,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Liquid Receiver and Accumulator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Cooling with CTV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and Accumulator (no LR)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Heating with CTV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and Accumulator (no LR)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Cooling with TXV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and Liquid Receiver (no AC)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Heating with TXV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and Liquid Receiver (no AC)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Cooling with CTV only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Heating with CTV only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35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OFF</w:t>
            </w:r>
          </w:p>
        </w:tc>
        <w:tc>
          <w:tcPr>
            <w:tcW w:type="dxa" w:w="9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8A74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ON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 Valve Abbreviations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99"/>
        <w:gridCol w:w="1600"/>
        <w:gridCol w:w="6099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Valve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Valve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HP1–HP4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High Pressure Valves 1–4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CTV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Capillary Tube Valve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LRI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Liquid Receiver Inlet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AXV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Automatic Expansion Valve (not emulated)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LRK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Liquid Receiver King Valve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ACI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Accumulator Inlet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LRB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Liquid Receiver Bypass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ACO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Accumulator Outlet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TXV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Thermostatic Expansion Valve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ACB</w:t>
            </w:r>
          </w:p>
        </w:tc>
        <w:tc>
          <w:tcPr>
            <w:tcW w:type="dxa" w:w="609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Accumulator Bypass</w:t>
            </w:r>
          </w:p>
        </w:tc>
      </w:tr>
    </w:tbl>
    <w:p>
      <w:r>
        <w:br w:type="pag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 Supported Refrigerants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10198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Refrigerant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10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Glide Behaviour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R134a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Pure HFC</w:t>
            </w:r>
          </w:p>
        </w:tc>
        <w:tc>
          <w:tcPr>
            <w:tcW w:type="dxa" w:w="10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Tdew = Tbubble (no glide)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R290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Propane (HC)</w:t>
            </w:r>
          </w:p>
        </w:tc>
        <w:tc>
          <w:tcPr>
            <w:tcW w:type="dxa" w:w="10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Tdew = Tbubble (no glide)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R32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Pure HFC</w:t>
            </w:r>
          </w:p>
        </w:tc>
        <w:tc>
          <w:tcPr>
            <w:tcW w:type="dxa" w:w="10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Tdew = Tbubble (no glide)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R454C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HFO/HFC Blend</w:t>
            </w:r>
          </w:p>
        </w:tc>
        <w:tc>
          <w:tcPr>
            <w:tcW w:type="dxa" w:w="10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Tdew ≠ Tbubble (temperature glide applies)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6C757D"/>
          <w:sz w:val="16"/>
          <w:szCs w:val="16"/>
        </w:rPr>
        <w:t xml:space="preserve">Note: For R454C (a zeotropic blend), the condenser outlet temperature is derived from Tbubble via an inverse polynomial, not from Tdew directly. This accounts for temperature glide.</w:t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 Emulator Outputs</w:t>
      </w:r>
    </w:p>
    <w:p>
      <w:pPr>
        <w:spacing w:after="100"/>
      </w:pPr>
      <w:r>
        <w:rPr>
          <w:rFonts w:ascii="Arial" w:cs="Arial" w:eastAsia="Arial" w:hAnsi="Arial"/>
          <w:color w:val="495057"/>
          <w:sz w:val="17"/>
          <w:szCs w:val="17"/>
        </w:rPr>
        <w:t xml:space="preserve">Outputs are displayed when a valid valve configuration is set. In heating mode, condenser and evaporator labels swap on the fin-tube heat exchangers.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1198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Output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Condenser Pressure (Pdis)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kPa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Red gauge — Pdew at condenser saturation temperature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Evaporator Pressure (Pevap)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kPa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Red gauge — Pdew at evaporator saturation temperature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Suction Pressure (Psuc)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kPa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Blue gauge — Pdew at (Tevap − 5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Discharge Temp (Tdis)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Condenser saturation + discharge superheat (30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Condenser Outlet (Tco)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Tbubble − condenser subcool (5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LR Outlet (Tlro)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Tco − 0.1 K (tentative)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Evaporator Outlet (Teo)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Tevap + evaporator superheat (5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Accumulator Outlet (Tacco)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Teo + 1 K (tentative)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Suction Temp (Tsuc)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(Tevap − 5) + suction superheat (15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Ambient Air (Tamb)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Echoes the slider input (−20 to 70 °C)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Condenser Air Out (Tcondairo)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Tamb + condenser split (5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Evaporator Air Out (Tevapairo)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°C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Tamb − evaporator split (5 K)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Airflow 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L/min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Condenser airflow (6 L/min, tentative)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Airflow B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L/min</w:t>
            </w:r>
          </w:p>
        </w:tc>
        <w:tc>
          <w:tcPr>
            <w:tcW w:type="dxa" w:w="1119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Evaporator airflow (6 L/min, tentative)</w:t>
            </w:r>
          </w:p>
        </w:tc>
      </w:tr>
    </w:tbl>
    <w:p>
      <w:pPr>
        <w:spacing w:before="300" w:after="12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 Key Assumed Constants (Tentative)</w:t>
      </w:r>
    </w:p>
    <w:p>
      <w:pPr>
        <w:spacing w:after="60"/>
      </w:pPr>
      <w:r>
        <w:rPr>
          <w:rFonts w:ascii="Arial" w:cs="Arial" w:eastAsia="Arial" w:hAnsi="Arial"/>
          <w:sz w:val="16"/>
          <w:szCs w:val="16"/>
        </w:rPr>
        <w:t xml:space="preserve">Condenser TD = 15 K   |   Evaporator TD = 15 K   |   Discharge SH = 30 K   |   Suction SH = 15 K   |   Evaporator SH = 5 K   |   Condenser SC = 5 K   |   Condenser Split = 5 K   |   Evaporator Split = 5 K</w:t>
      </w:r>
    </w:p>
    <w:p>
      <w:r>
        <w:rPr>
          <w:rFonts w:ascii="Arial" w:cs="Arial" w:eastAsia="Arial" w:hAnsi="Arial"/>
          <w:i/>
          <w:iCs/>
          <w:color w:val="6C757D"/>
          <w:sz w:val="16"/>
          <w:szCs w:val="16"/>
        </w:rPr>
        <w:t xml:space="preserve">These values will be revised based on physical TU-100 observations in the next draft.</w:t>
      </w:r>
    </w:p>
    <w:sectPr>
      <w:headerReference w:type="default" r:id="rId6"/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TU-100 Emulator Quick Reference Card  —  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E63946"/>
        <w:sz w:val="16"/>
        <w:szCs w:val="16"/>
      </w:rPr>
      <w:t xml:space="preserve">RMIT — UEERA0036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60"/>
      <w:jc w:val="center"/>
    </w:pPr>
    <w:rPr>
      <w:rFonts w:ascii="Arial" w:cs="Arial" w:eastAsia="Arial" w:hAnsi="Arial"/>
      <w:b/>
      <w:bCs/>
      <w:color w:val="1A1A2E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2026-02-17T02:08:37.331Z</dcterms:created>
  <dcterms:modified xsi:type="dcterms:W3CDTF">2026-02-17T02:08:37.332Z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