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D79" w:rsidRDefault="00562721" w:rsidP="00562721">
      <w:pPr>
        <w:pStyle w:val="ListParagraph"/>
        <w:numPr>
          <w:ilvl w:val="0"/>
          <w:numId w:val="1"/>
        </w:numPr>
      </w:pPr>
      <w:r>
        <w:t>OT</w:t>
      </w:r>
    </w:p>
    <w:p w:rsidR="00562721" w:rsidRDefault="00562721" w:rsidP="00562721">
      <w:pPr>
        <w:pStyle w:val="BodyTextIndent"/>
        <w:ind w:left="0"/>
      </w:pPr>
      <w:r>
        <w:t xml:space="preserve">- </w:t>
      </w:r>
      <w:r>
        <w:t xml:space="preserve">  Taxation </w:t>
      </w:r>
    </w:p>
    <w:p w:rsidR="00562721" w:rsidRDefault="00562721" w:rsidP="00562721">
      <w:pPr>
        <w:pStyle w:val="BodyTextIndent"/>
        <w:ind w:left="0"/>
      </w:pPr>
      <w:r>
        <w:t xml:space="preserve">Accordingly to VN legislation, the premium part of overtime will be taxable, therefore when calculate the amount paid to employee, processing class 64 will be used for below overtime calculation. It will automatically treat the premium part as taxable, and the rest of overtime as non- taxable. </w:t>
      </w:r>
    </w:p>
    <w:p w:rsidR="00562721" w:rsidRDefault="00562721" w:rsidP="00562721">
      <w:pPr>
        <w:pStyle w:val="BodyTextIndent"/>
        <w:tabs>
          <w:tab w:val="left" w:pos="0"/>
        </w:tabs>
        <w:ind w:left="0"/>
      </w:pPr>
      <w:r>
        <w:t xml:space="preserve">- </w:t>
      </w:r>
      <w:r>
        <w:t xml:space="preserve"> Overtime </w:t>
      </w:r>
      <w:proofErr w:type="spellStart"/>
      <w:r>
        <w:t>Wagetypes</w:t>
      </w:r>
      <w:proofErr w:type="spellEnd"/>
      <w:r>
        <w:t xml:space="preserve"> </w:t>
      </w:r>
    </w:p>
    <w:tbl>
      <w:tblPr>
        <w:tblW w:w="9816" w:type="dxa"/>
        <w:tblInd w:w="108" w:type="dxa"/>
        <w:tblLook w:val="04A0" w:firstRow="1" w:lastRow="0" w:firstColumn="1" w:lastColumn="0" w:noHBand="0" w:noVBand="1"/>
      </w:tblPr>
      <w:tblGrid>
        <w:gridCol w:w="758"/>
        <w:gridCol w:w="1819"/>
        <w:gridCol w:w="3860"/>
        <w:gridCol w:w="3379"/>
      </w:tblGrid>
      <w:tr w:rsidR="00562721" w:rsidRPr="006E6311" w:rsidTr="00E83611">
        <w:trPr>
          <w:trHeight w:val="288"/>
        </w:trPr>
        <w:tc>
          <w:tcPr>
            <w:tcW w:w="758" w:type="dxa"/>
            <w:tcBorders>
              <w:top w:val="nil"/>
              <w:left w:val="nil"/>
              <w:bottom w:val="nil"/>
              <w:right w:val="nil"/>
            </w:tcBorders>
            <w:shd w:val="clear" w:color="auto" w:fill="auto"/>
            <w:noWrap/>
            <w:vAlign w:val="bottom"/>
          </w:tcPr>
          <w:p w:rsidR="00562721" w:rsidRPr="006E6311" w:rsidRDefault="00562721" w:rsidP="00E83611">
            <w:pPr>
              <w:spacing w:line="240" w:lineRule="auto"/>
              <w:rPr>
                <w:rFonts w:ascii="Calibri" w:hAnsi="Calibri" w:cs="Calibri"/>
                <w:color w:val="000000"/>
              </w:rPr>
            </w:pPr>
          </w:p>
        </w:tc>
        <w:tc>
          <w:tcPr>
            <w:tcW w:w="18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2721" w:rsidRPr="0030754F" w:rsidRDefault="00562721" w:rsidP="00E83611">
            <w:pPr>
              <w:spacing w:line="240" w:lineRule="auto"/>
              <w:rPr>
                <w:rFonts w:ascii="Calibri" w:hAnsi="Calibri" w:cs="Calibri"/>
                <w:b/>
                <w:color w:val="000000"/>
              </w:rPr>
            </w:pPr>
            <w:r w:rsidRPr="0030754F">
              <w:rPr>
                <w:rFonts w:ascii="Calibri" w:hAnsi="Calibri" w:cs="Calibri"/>
                <w:b/>
                <w:color w:val="000000"/>
              </w:rPr>
              <w:t>OT Wage Types</w:t>
            </w:r>
          </w:p>
        </w:tc>
        <w:tc>
          <w:tcPr>
            <w:tcW w:w="3860" w:type="dxa"/>
            <w:tcBorders>
              <w:top w:val="single" w:sz="4" w:space="0" w:color="auto"/>
              <w:left w:val="nil"/>
              <w:bottom w:val="single" w:sz="4" w:space="0" w:color="auto"/>
              <w:right w:val="single" w:sz="4" w:space="0" w:color="auto"/>
            </w:tcBorders>
            <w:shd w:val="clear" w:color="auto" w:fill="auto"/>
            <w:noWrap/>
            <w:vAlign w:val="bottom"/>
          </w:tcPr>
          <w:p w:rsidR="00562721" w:rsidRPr="0030754F" w:rsidRDefault="00562721" w:rsidP="00E83611">
            <w:pPr>
              <w:spacing w:line="240" w:lineRule="auto"/>
              <w:jc w:val="center"/>
              <w:rPr>
                <w:rFonts w:ascii="Calibri" w:hAnsi="Calibri" w:cs="Calibri"/>
                <w:b/>
                <w:color w:val="000000"/>
              </w:rPr>
            </w:pPr>
            <w:r w:rsidRPr="0030754F">
              <w:rPr>
                <w:rFonts w:ascii="Calibri" w:hAnsi="Calibri" w:cs="Calibri"/>
                <w:b/>
                <w:color w:val="000000"/>
              </w:rPr>
              <w:t>Taxable</w:t>
            </w:r>
          </w:p>
        </w:tc>
        <w:tc>
          <w:tcPr>
            <w:tcW w:w="3379" w:type="dxa"/>
            <w:tcBorders>
              <w:top w:val="single" w:sz="4" w:space="0" w:color="auto"/>
              <w:left w:val="nil"/>
              <w:bottom w:val="single" w:sz="4" w:space="0" w:color="auto"/>
              <w:right w:val="single" w:sz="4" w:space="0" w:color="auto"/>
            </w:tcBorders>
            <w:shd w:val="clear" w:color="auto" w:fill="auto"/>
            <w:noWrap/>
            <w:vAlign w:val="bottom"/>
          </w:tcPr>
          <w:p w:rsidR="00562721" w:rsidRPr="0030754F" w:rsidRDefault="00562721" w:rsidP="00E83611">
            <w:pPr>
              <w:spacing w:line="240" w:lineRule="auto"/>
              <w:jc w:val="center"/>
              <w:rPr>
                <w:rFonts w:ascii="Calibri" w:hAnsi="Calibri" w:cs="Calibri"/>
                <w:b/>
                <w:color w:val="000000"/>
              </w:rPr>
            </w:pPr>
            <w:r w:rsidRPr="0030754F">
              <w:rPr>
                <w:rFonts w:ascii="Calibri" w:hAnsi="Calibri" w:cs="Calibri"/>
                <w:b/>
                <w:color w:val="000000"/>
              </w:rPr>
              <w:t>Non Taxable</w:t>
            </w:r>
          </w:p>
        </w:tc>
      </w:tr>
      <w:tr w:rsidR="00562721" w:rsidRPr="006E6311" w:rsidTr="00E83611">
        <w:trPr>
          <w:trHeight w:val="288"/>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2T15</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150%</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/001*50%*OT Hours</w:t>
            </w:r>
          </w:p>
        </w:tc>
      </w:tr>
      <w:tr w:rsidR="00562721" w:rsidRPr="006E6311" w:rsidTr="00E83611">
        <w:trPr>
          <w:trHeight w:val="288"/>
        </w:trPr>
        <w:tc>
          <w:tcPr>
            <w:tcW w:w="758" w:type="dxa"/>
            <w:tcBorders>
              <w:top w:val="nil"/>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2T19</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195%</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/001*95%*OT Hours</w:t>
            </w:r>
          </w:p>
        </w:tc>
      </w:tr>
      <w:tr w:rsidR="00562721" w:rsidRPr="006E6311" w:rsidTr="00E83611">
        <w:trPr>
          <w:trHeight w:val="288"/>
        </w:trPr>
        <w:tc>
          <w:tcPr>
            <w:tcW w:w="758" w:type="dxa"/>
            <w:tcBorders>
              <w:top w:val="nil"/>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2T20</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200%</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/001*100%*OT Hours</w:t>
            </w:r>
          </w:p>
        </w:tc>
      </w:tr>
      <w:tr w:rsidR="00562721" w:rsidRPr="006E6311" w:rsidTr="00E83611">
        <w:trPr>
          <w:trHeight w:val="288"/>
        </w:trPr>
        <w:tc>
          <w:tcPr>
            <w:tcW w:w="758" w:type="dxa"/>
            <w:tcBorders>
              <w:top w:val="nil"/>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2T26</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260%</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/001*160%*OT Hours</w:t>
            </w:r>
          </w:p>
        </w:tc>
      </w:tr>
      <w:tr w:rsidR="00562721" w:rsidRPr="006E6311" w:rsidTr="00E83611">
        <w:trPr>
          <w:trHeight w:val="288"/>
        </w:trPr>
        <w:tc>
          <w:tcPr>
            <w:tcW w:w="758" w:type="dxa"/>
            <w:tcBorders>
              <w:top w:val="nil"/>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2T30</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300%</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/001*200%*OT Hours</w:t>
            </w:r>
          </w:p>
        </w:tc>
      </w:tr>
      <w:tr w:rsidR="00562721" w:rsidRPr="006E6311" w:rsidTr="00E83611">
        <w:trPr>
          <w:trHeight w:val="288"/>
        </w:trPr>
        <w:tc>
          <w:tcPr>
            <w:tcW w:w="758" w:type="dxa"/>
            <w:tcBorders>
              <w:top w:val="nil"/>
              <w:left w:val="single" w:sz="4" w:space="0" w:color="auto"/>
              <w:bottom w:val="single" w:sz="4" w:space="0" w:color="auto"/>
              <w:right w:val="single" w:sz="4" w:space="0" w:color="auto"/>
            </w:tcBorders>
            <w:shd w:val="clear" w:color="auto" w:fill="auto"/>
            <w:noWrap/>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2T39</w:t>
            </w:r>
          </w:p>
        </w:tc>
        <w:tc>
          <w:tcPr>
            <w:tcW w:w="1819" w:type="dxa"/>
            <w:tcBorders>
              <w:top w:val="nil"/>
              <w:left w:val="nil"/>
              <w:bottom w:val="single" w:sz="4" w:space="0" w:color="auto"/>
              <w:right w:val="nil"/>
            </w:tcBorders>
            <w:shd w:val="clear" w:color="auto" w:fill="auto"/>
            <w:vAlign w:val="center"/>
          </w:tcPr>
          <w:p w:rsidR="00562721" w:rsidRPr="006E6311" w:rsidRDefault="00562721" w:rsidP="00E83611">
            <w:pPr>
              <w:spacing w:line="240" w:lineRule="auto"/>
              <w:rPr>
                <w:rFonts w:ascii="Arial" w:hAnsi="Arial" w:cs="Arial"/>
                <w:sz w:val="20"/>
              </w:rPr>
            </w:pPr>
            <w:r w:rsidRPr="006E6311">
              <w:rPr>
                <w:rFonts w:ascii="Arial" w:hAnsi="Arial" w:cs="Arial"/>
                <w:sz w:val="20"/>
              </w:rPr>
              <w:t>Overtime 390%</w:t>
            </w:r>
          </w:p>
        </w:tc>
        <w:tc>
          <w:tcPr>
            <w:tcW w:w="3860" w:type="dxa"/>
            <w:tcBorders>
              <w:top w:val="nil"/>
              <w:left w:val="single" w:sz="4" w:space="0" w:color="auto"/>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/001*100%* OT Hours</w:t>
            </w:r>
          </w:p>
        </w:tc>
        <w:tc>
          <w:tcPr>
            <w:tcW w:w="3379" w:type="dxa"/>
            <w:tcBorders>
              <w:top w:val="nil"/>
              <w:left w:val="nil"/>
              <w:bottom w:val="single" w:sz="4" w:space="0" w:color="auto"/>
              <w:right w:val="single" w:sz="4" w:space="0" w:color="auto"/>
            </w:tcBorders>
            <w:shd w:val="clear" w:color="auto" w:fill="auto"/>
            <w:noWrap/>
            <w:vAlign w:val="bottom"/>
          </w:tcPr>
          <w:p w:rsidR="00562721" w:rsidRPr="006E6311" w:rsidRDefault="00562721" w:rsidP="00E83611">
            <w:pPr>
              <w:spacing w:line="240" w:lineRule="auto"/>
              <w:rPr>
                <w:rFonts w:ascii="Calibri" w:hAnsi="Calibri" w:cs="Calibri"/>
                <w:color w:val="000000"/>
              </w:rPr>
            </w:pPr>
            <w:r w:rsidRPr="006E6311">
              <w:rPr>
                <w:rFonts w:ascii="Calibri" w:hAnsi="Calibri" w:cs="Calibri"/>
                <w:color w:val="000000"/>
              </w:rPr>
              <w:t>Hourly Rate /001*290%*OT Hours</w:t>
            </w:r>
          </w:p>
        </w:tc>
      </w:tr>
    </w:tbl>
    <w:p w:rsidR="00562721" w:rsidRDefault="00562721" w:rsidP="00562721">
      <w:pPr>
        <w:pStyle w:val="BodyTextIndent"/>
        <w:ind w:left="0"/>
      </w:pPr>
    </w:p>
    <w:p w:rsidR="00562721" w:rsidRDefault="00562721" w:rsidP="00562721"/>
    <w:p w:rsidR="00562721" w:rsidRDefault="00562721" w:rsidP="00562721">
      <w:pPr>
        <w:pStyle w:val="ListParagraph"/>
        <w:numPr>
          <w:ilvl w:val="0"/>
          <w:numId w:val="1"/>
        </w:numPr>
      </w:pPr>
      <w:r>
        <w:t>Insurance:</w:t>
      </w:r>
    </w:p>
    <w:tbl>
      <w:tblPr>
        <w:tblW w:w="6783" w:type="dxa"/>
        <w:jc w:val="center"/>
        <w:tblInd w:w="-898" w:type="dxa"/>
        <w:tblLook w:val="0000" w:firstRow="0" w:lastRow="0" w:firstColumn="0" w:lastColumn="0" w:noHBand="0" w:noVBand="0"/>
      </w:tblPr>
      <w:tblGrid>
        <w:gridCol w:w="1206"/>
        <w:gridCol w:w="2505"/>
        <w:gridCol w:w="1536"/>
        <w:gridCol w:w="1536"/>
      </w:tblGrid>
      <w:tr w:rsidR="00562721" w:rsidTr="00E83611">
        <w:trPr>
          <w:trHeight w:val="225"/>
          <w:jc w:val="center"/>
        </w:trPr>
        <w:tc>
          <w:tcPr>
            <w:tcW w:w="1206" w:type="dxa"/>
            <w:tcBorders>
              <w:top w:val="single" w:sz="4" w:space="0" w:color="auto"/>
              <w:left w:val="single" w:sz="4" w:space="0" w:color="auto"/>
              <w:bottom w:val="single" w:sz="4" w:space="0" w:color="auto"/>
              <w:right w:val="single" w:sz="4" w:space="0" w:color="auto"/>
            </w:tcBorders>
            <w:shd w:val="clear" w:color="auto" w:fill="000080"/>
            <w:noWrap/>
            <w:vAlign w:val="center"/>
          </w:tcPr>
          <w:p w:rsidR="00562721" w:rsidRDefault="00562721" w:rsidP="00E83611">
            <w:pPr>
              <w:spacing w:line="240" w:lineRule="auto"/>
              <w:jc w:val="center"/>
              <w:rPr>
                <w:b/>
                <w:bCs/>
                <w:color w:val="FFFFFF"/>
                <w:szCs w:val="16"/>
                <w:lang w:val="en-US" w:eastAsia="zh-TW" w:bidi="th-TH"/>
              </w:rPr>
            </w:pPr>
            <w:r>
              <w:rPr>
                <w:b/>
                <w:bCs/>
                <w:color w:val="FFFFFF"/>
                <w:szCs w:val="16"/>
                <w:lang w:val="en-US" w:eastAsia="zh-TW" w:bidi="th-TH"/>
              </w:rPr>
              <w:t>Insurance Type</w:t>
            </w:r>
          </w:p>
        </w:tc>
        <w:tc>
          <w:tcPr>
            <w:tcW w:w="2505" w:type="dxa"/>
            <w:tcBorders>
              <w:top w:val="single" w:sz="4" w:space="0" w:color="auto"/>
              <w:left w:val="nil"/>
              <w:bottom w:val="single" w:sz="4" w:space="0" w:color="auto"/>
              <w:right w:val="single" w:sz="4" w:space="0" w:color="auto"/>
            </w:tcBorders>
            <w:shd w:val="clear" w:color="auto" w:fill="000080"/>
            <w:noWrap/>
            <w:vAlign w:val="center"/>
          </w:tcPr>
          <w:p w:rsidR="00562721" w:rsidRDefault="00562721" w:rsidP="00E83611">
            <w:pPr>
              <w:spacing w:line="240" w:lineRule="auto"/>
              <w:rPr>
                <w:b/>
                <w:bCs/>
                <w:color w:val="FFFFFF"/>
                <w:szCs w:val="16"/>
                <w:lang w:val="en-US" w:eastAsia="zh-TW" w:bidi="th-TH"/>
              </w:rPr>
            </w:pPr>
            <w:r>
              <w:rPr>
                <w:b/>
                <w:bCs/>
                <w:color w:val="FFFFFF"/>
                <w:szCs w:val="16"/>
                <w:lang w:val="en-US" w:eastAsia="zh-TW" w:bidi="th-TH"/>
              </w:rPr>
              <w:t>Insurance Scheme Text</w:t>
            </w:r>
          </w:p>
        </w:tc>
        <w:tc>
          <w:tcPr>
            <w:tcW w:w="1536" w:type="dxa"/>
            <w:tcBorders>
              <w:top w:val="single" w:sz="4" w:space="0" w:color="auto"/>
              <w:left w:val="nil"/>
              <w:bottom w:val="single" w:sz="4" w:space="0" w:color="auto"/>
              <w:right w:val="single" w:sz="4" w:space="0" w:color="auto"/>
            </w:tcBorders>
            <w:shd w:val="clear" w:color="auto" w:fill="000080"/>
            <w:vAlign w:val="center"/>
          </w:tcPr>
          <w:p w:rsidR="00562721" w:rsidRDefault="00562721" w:rsidP="00E83611">
            <w:pPr>
              <w:spacing w:line="240" w:lineRule="auto"/>
              <w:jc w:val="center"/>
              <w:rPr>
                <w:b/>
                <w:bCs/>
                <w:color w:val="FFFFFF"/>
                <w:szCs w:val="16"/>
                <w:lang w:val="en-US" w:eastAsia="zh-TW" w:bidi="th-TH"/>
              </w:rPr>
            </w:pPr>
            <w:r>
              <w:rPr>
                <w:b/>
                <w:bCs/>
                <w:color w:val="FFFFFF"/>
                <w:szCs w:val="16"/>
                <w:lang w:val="en-US" w:eastAsia="zh-TW" w:bidi="th-TH"/>
              </w:rPr>
              <w:t>ER % Contribution</w:t>
            </w:r>
          </w:p>
        </w:tc>
        <w:tc>
          <w:tcPr>
            <w:tcW w:w="1536" w:type="dxa"/>
            <w:tcBorders>
              <w:top w:val="single" w:sz="4" w:space="0" w:color="auto"/>
              <w:left w:val="nil"/>
              <w:bottom w:val="single" w:sz="4" w:space="0" w:color="auto"/>
              <w:right w:val="single" w:sz="4" w:space="0" w:color="auto"/>
            </w:tcBorders>
            <w:shd w:val="clear" w:color="auto" w:fill="000080"/>
            <w:vAlign w:val="center"/>
          </w:tcPr>
          <w:p w:rsidR="00562721" w:rsidRDefault="00562721" w:rsidP="00E83611">
            <w:pPr>
              <w:spacing w:line="240" w:lineRule="auto"/>
              <w:jc w:val="center"/>
              <w:rPr>
                <w:b/>
                <w:bCs/>
                <w:color w:val="FFFFFF"/>
                <w:szCs w:val="16"/>
                <w:lang w:val="en-US" w:eastAsia="zh-TW" w:bidi="th-TH"/>
              </w:rPr>
            </w:pPr>
            <w:r>
              <w:rPr>
                <w:b/>
                <w:bCs/>
                <w:color w:val="FFFFFF"/>
                <w:szCs w:val="16"/>
                <w:lang w:val="en-US" w:eastAsia="zh-TW" w:bidi="th-TH"/>
              </w:rPr>
              <w:t>EE % Contribution</w:t>
            </w:r>
          </w:p>
        </w:tc>
      </w:tr>
      <w:tr w:rsidR="00562721" w:rsidTr="00E83611">
        <w:trPr>
          <w:trHeight w:val="225"/>
          <w:jc w:val="center"/>
        </w:trPr>
        <w:tc>
          <w:tcPr>
            <w:tcW w:w="1206" w:type="dxa"/>
            <w:tcBorders>
              <w:top w:val="nil"/>
              <w:left w:val="single" w:sz="4" w:space="0" w:color="auto"/>
              <w:bottom w:val="single" w:sz="4" w:space="0" w:color="auto"/>
              <w:right w:val="single" w:sz="4" w:space="0" w:color="auto"/>
            </w:tcBorders>
            <w:shd w:val="clear" w:color="auto" w:fill="C0C0C0"/>
            <w:noWrap/>
            <w:vAlign w:val="bottom"/>
          </w:tcPr>
          <w:p w:rsidR="00562721" w:rsidRPr="00CB0673" w:rsidRDefault="00562721" w:rsidP="00E83611">
            <w:pPr>
              <w:rPr>
                <w:rFonts w:cs="Arial"/>
              </w:rPr>
            </w:pPr>
            <w:r>
              <w:rPr>
                <w:rFonts w:cs="Arial"/>
              </w:rPr>
              <w:t>01</w:t>
            </w:r>
          </w:p>
        </w:tc>
        <w:tc>
          <w:tcPr>
            <w:tcW w:w="2505" w:type="dxa"/>
            <w:tcBorders>
              <w:top w:val="nil"/>
              <w:left w:val="nil"/>
              <w:bottom w:val="single" w:sz="4" w:space="0" w:color="auto"/>
              <w:right w:val="single" w:sz="4" w:space="0" w:color="auto"/>
            </w:tcBorders>
            <w:noWrap/>
            <w:vAlign w:val="bottom"/>
          </w:tcPr>
          <w:p w:rsidR="00562721" w:rsidRPr="00CB0673" w:rsidRDefault="00562721" w:rsidP="00E83611">
            <w:pPr>
              <w:rPr>
                <w:rFonts w:cs="Arial"/>
              </w:rPr>
            </w:pPr>
            <w:r>
              <w:rPr>
                <w:rFonts w:cs="Arial"/>
              </w:rPr>
              <w:t>Compulsory Social Insurance</w:t>
            </w:r>
          </w:p>
        </w:tc>
        <w:tc>
          <w:tcPr>
            <w:tcW w:w="1536" w:type="dxa"/>
            <w:tcBorders>
              <w:top w:val="nil"/>
              <w:left w:val="nil"/>
              <w:bottom w:val="single" w:sz="4" w:space="0" w:color="auto"/>
              <w:right w:val="single" w:sz="4" w:space="0" w:color="auto"/>
            </w:tcBorders>
            <w:vAlign w:val="center"/>
          </w:tcPr>
          <w:p w:rsidR="00562721" w:rsidRDefault="00562721" w:rsidP="00E83611">
            <w:pPr>
              <w:spacing w:line="240" w:lineRule="auto"/>
              <w:jc w:val="center"/>
              <w:rPr>
                <w:szCs w:val="16"/>
                <w:lang w:val="en-US" w:eastAsia="zh-TW" w:bidi="th-TH"/>
              </w:rPr>
            </w:pPr>
            <w:r>
              <w:rPr>
                <w:szCs w:val="16"/>
                <w:lang w:val="en-US" w:eastAsia="zh-TW" w:bidi="th-TH"/>
              </w:rPr>
              <w:t>16</w:t>
            </w:r>
          </w:p>
        </w:tc>
        <w:tc>
          <w:tcPr>
            <w:tcW w:w="1536" w:type="dxa"/>
            <w:tcBorders>
              <w:top w:val="nil"/>
              <w:left w:val="nil"/>
              <w:bottom w:val="single" w:sz="4" w:space="0" w:color="auto"/>
              <w:right w:val="single" w:sz="4" w:space="0" w:color="auto"/>
            </w:tcBorders>
            <w:vAlign w:val="center"/>
          </w:tcPr>
          <w:p w:rsidR="00562721" w:rsidRDefault="00562721" w:rsidP="00E83611">
            <w:pPr>
              <w:spacing w:line="240" w:lineRule="auto"/>
              <w:jc w:val="center"/>
              <w:rPr>
                <w:szCs w:val="16"/>
                <w:lang w:val="en-US" w:eastAsia="zh-TW" w:bidi="th-TH"/>
              </w:rPr>
            </w:pPr>
            <w:r>
              <w:rPr>
                <w:szCs w:val="16"/>
                <w:lang w:val="en-US" w:eastAsia="zh-TW" w:bidi="th-TH"/>
              </w:rPr>
              <w:t>6</w:t>
            </w:r>
          </w:p>
        </w:tc>
      </w:tr>
      <w:tr w:rsidR="00562721" w:rsidTr="00E83611">
        <w:trPr>
          <w:trHeight w:val="225"/>
          <w:jc w:val="center"/>
        </w:trPr>
        <w:tc>
          <w:tcPr>
            <w:tcW w:w="1206"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562721" w:rsidRPr="00CB0673" w:rsidRDefault="00562721" w:rsidP="00E83611">
            <w:pPr>
              <w:rPr>
                <w:rFonts w:cs="Arial"/>
              </w:rPr>
            </w:pPr>
            <w:r>
              <w:rPr>
                <w:rFonts w:cs="Arial"/>
              </w:rPr>
              <w:t>03</w:t>
            </w:r>
          </w:p>
        </w:tc>
        <w:tc>
          <w:tcPr>
            <w:tcW w:w="2505" w:type="dxa"/>
            <w:tcBorders>
              <w:top w:val="single" w:sz="4" w:space="0" w:color="auto"/>
              <w:left w:val="nil"/>
              <w:bottom w:val="single" w:sz="4" w:space="0" w:color="auto"/>
              <w:right w:val="single" w:sz="4" w:space="0" w:color="auto"/>
            </w:tcBorders>
            <w:shd w:val="clear" w:color="auto" w:fill="FFFFFF"/>
            <w:noWrap/>
            <w:vAlign w:val="bottom"/>
          </w:tcPr>
          <w:p w:rsidR="00562721" w:rsidRPr="00CB0673" w:rsidRDefault="00562721" w:rsidP="00E83611">
            <w:pPr>
              <w:rPr>
                <w:rFonts w:cs="Arial"/>
              </w:rPr>
            </w:pPr>
            <w:r>
              <w:rPr>
                <w:rFonts w:cs="Arial"/>
              </w:rPr>
              <w:t>Unemployment Insurance</w:t>
            </w:r>
          </w:p>
        </w:tc>
        <w:tc>
          <w:tcPr>
            <w:tcW w:w="1536" w:type="dxa"/>
            <w:tcBorders>
              <w:top w:val="single" w:sz="4" w:space="0" w:color="auto"/>
              <w:left w:val="nil"/>
              <w:bottom w:val="single" w:sz="4" w:space="0" w:color="auto"/>
              <w:right w:val="single" w:sz="4" w:space="0" w:color="auto"/>
            </w:tcBorders>
            <w:shd w:val="clear" w:color="auto" w:fill="FFFFFF"/>
            <w:vAlign w:val="center"/>
          </w:tcPr>
          <w:p w:rsidR="00562721" w:rsidRDefault="00562721" w:rsidP="00E83611">
            <w:pPr>
              <w:spacing w:line="240" w:lineRule="auto"/>
              <w:jc w:val="center"/>
              <w:rPr>
                <w:szCs w:val="16"/>
                <w:lang w:val="en-US" w:eastAsia="zh-TW" w:bidi="th-TH"/>
              </w:rPr>
            </w:pPr>
            <w:r>
              <w:rPr>
                <w:szCs w:val="16"/>
                <w:lang w:val="en-US" w:eastAsia="zh-TW" w:bidi="th-TH"/>
              </w:rPr>
              <w:t>1</w:t>
            </w:r>
          </w:p>
        </w:tc>
        <w:tc>
          <w:tcPr>
            <w:tcW w:w="1536" w:type="dxa"/>
            <w:tcBorders>
              <w:top w:val="single" w:sz="4" w:space="0" w:color="auto"/>
              <w:left w:val="nil"/>
              <w:bottom w:val="single" w:sz="4" w:space="0" w:color="auto"/>
              <w:right w:val="single" w:sz="4" w:space="0" w:color="auto"/>
            </w:tcBorders>
            <w:shd w:val="clear" w:color="auto" w:fill="FFFFFF"/>
            <w:vAlign w:val="center"/>
          </w:tcPr>
          <w:p w:rsidR="00562721" w:rsidRDefault="00562721" w:rsidP="00E83611">
            <w:pPr>
              <w:spacing w:line="240" w:lineRule="auto"/>
              <w:jc w:val="center"/>
              <w:rPr>
                <w:szCs w:val="16"/>
                <w:lang w:val="en-US" w:eastAsia="zh-TW" w:bidi="th-TH"/>
              </w:rPr>
            </w:pPr>
            <w:r>
              <w:rPr>
                <w:szCs w:val="16"/>
                <w:lang w:val="en-US" w:eastAsia="zh-TW" w:bidi="th-TH"/>
              </w:rPr>
              <w:t>1</w:t>
            </w:r>
          </w:p>
        </w:tc>
      </w:tr>
      <w:tr w:rsidR="00562721" w:rsidTr="00E83611">
        <w:trPr>
          <w:trHeight w:val="225"/>
          <w:jc w:val="center"/>
        </w:trPr>
        <w:tc>
          <w:tcPr>
            <w:tcW w:w="1206"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562721" w:rsidRPr="00CB0673" w:rsidRDefault="00562721" w:rsidP="00E83611">
            <w:pPr>
              <w:rPr>
                <w:rFonts w:cs="Arial"/>
              </w:rPr>
            </w:pPr>
            <w:r>
              <w:rPr>
                <w:rFonts w:cs="Arial"/>
              </w:rPr>
              <w:t>04</w:t>
            </w:r>
          </w:p>
        </w:tc>
        <w:tc>
          <w:tcPr>
            <w:tcW w:w="2505" w:type="dxa"/>
            <w:tcBorders>
              <w:top w:val="single" w:sz="4" w:space="0" w:color="auto"/>
              <w:left w:val="nil"/>
              <w:bottom w:val="single" w:sz="4" w:space="0" w:color="auto"/>
              <w:right w:val="single" w:sz="4" w:space="0" w:color="auto"/>
            </w:tcBorders>
            <w:shd w:val="clear" w:color="auto" w:fill="FFFFFF"/>
            <w:noWrap/>
            <w:vAlign w:val="bottom"/>
          </w:tcPr>
          <w:p w:rsidR="00562721" w:rsidRPr="00CB0673" w:rsidRDefault="00562721" w:rsidP="00E83611">
            <w:pPr>
              <w:rPr>
                <w:rFonts w:cs="Arial"/>
              </w:rPr>
            </w:pPr>
            <w:r>
              <w:rPr>
                <w:rFonts w:cs="Arial"/>
              </w:rPr>
              <w:t>Health Insurance</w:t>
            </w:r>
          </w:p>
        </w:tc>
        <w:tc>
          <w:tcPr>
            <w:tcW w:w="1536" w:type="dxa"/>
            <w:tcBorders>
              <w:top w:val="single" w:sz="4" w:space="0" w:color="auto"/>
              <w:left w:val="nil"/>
              <w:bottom w:val="single" w:sz="4" w:space="0" w:color="auto"/>
              <w:right w:val="single" w:sz="4" w:space="0" w:color="auto"/>
            </w:tcBorders>
            <w:shd w:val="clear" w:color="auto" w:fill="FFFFFF"/>
            <w:vAlign w:val="center"/>
          </w:tcPr>
          <w:p w:rsidR="00562721" w:rsidRDefault="00562721" w:rsidP="00E83611">
            <w:pPr>
              <w:spacing w:line="240" w:lineRule="auto"/>
              <w:jc w:val="center"/>
              <w:rPr>
                <w:szCs w:val="16"/>
                <w:lang w:val="en-US" w:eastAsia="zh-TW" w:bidi="th-TH"/>
              </w:rPr>
            </w:pPr>
            <w:r>
              <w:rPr>
                <w:szCs w:val="16"/>
                <w:lang w:val="en-US" w:eastAsia="zh-TW" w:bidi="th-TH"/>
              </w:rPr>
              <w:t>3</w:t>
            </w:r>
          </w:p>
        </w:tc>
        <w:tc>
          <w:tcPr>
            <w:tcW w:w="1536" w:type="dxa"/>
            <w:tcBorders>
              <w:top w:val="single" w:sz="4" w:space="0" w:color="auto"/>
              <w:left w:val="nil"/>
              <w:bottom w:val="single" w:sz="4" w:space="0" w:color="auto"/>
              <w:right w:val="single" w:sz="4" w:space="0" w:color="auto"/>
            </w:tcBorders>
            <w:shd w:val="clear" w:color="auto" w:fill="FFFFFF"/>
            <w:vAlign w:val="center"/>
          </w:tcPr>
          <w:p w:rsidR="00562721" w:rsidRDefault="00562721" w:rsidP="00E83611">
            <w:pPr>
              <w:spacing w:line="240" w:lineRule="auto"/>
              <w:jc w:val="center"/>
              <w:rPr>
                <w:szCs w:val="16"/>
                <w:lang w:val="en-US" w:eastAsia="zh-TW" w:bidi="th-TH"/>
              </w:rPr>
            </w:pPr>
            <w:r>
              <w:rPr>
                <w:szCs w:val="16"/>
                <w:lang w:val="en-US" w:eastAsia="zh-TW" w:bidi="th-TH"/>
              </w:rPr>
              <w:t>1.5</w:t>
            </w:r>
          </w:p>
        </w:tc>
      </w:tr>
    </w:tbl>
    <w:p w:rsidR="00562721" w:rsidRDefault="00562721" w:rsidP="00562721">
      <w:pPr>
        <w:pStyle w:val="Normal-withSpaceAfter"/>
      </w:pPr>
      <w:r>
        <w:t>2</w:t>
      </w:r>
      <w:r>
        <w:t xml:space="preserve">.1 </w:t>
      </w:r>
      <w:r w:rsidRPr="00F924E6">
        <w:t xml:space="preserve">If </w:t>
      </w:r>
      <w:proofErr w:type="spellStart"/>
      <w:r w:rsidRPr="00F924E6">
        <w:t>emplyee</w:t>
      </w:r>
      <w:proofErr w:type="spellEnd"/>
      <w:r w:rsidRPr="00F924E6">
        <w:t xml:space="preserve"> hires from 1st to 15th of the month, employee SS contribution will be paid in hiring month based on full month SS base</w:t>
      </w:r>
      <w:r>
        <w:t>.</w:t>
      </w:r>
    </w:p>
    <w:p w:rsidR="00562721" w:rsidRDefault="00562721" w:rsidP="00562721">
      <w:pPr>
        <w:pStyle w:val="Normal-withSpaceAfter"/>
      </w:pPr>
      <w:r>
        <w:t>2</w:t>
      </w:r>
      <w:r>
        <w:t xml:space="preserve">.2 </w:t>
      </w:r>
      <w:r w:rsidRPr="00F924E6">
        <w:t>If employee hires from 16th to 31st of the month, employee SS contribution will only start from following month. There is no retro calculation for previous hiring month.</w:t>
      </w:r>
    </w:p>
    <w:p w:rsidR="00562721" w:rsidRDefault="00562721" w:rsidP="00562721">
      <w:pPr>
        <w:pStyle w:val="Normal-withSpaceAfter"/>
      </w:pPr>
      <w:r>
        <w:t>2</w:t>
      </w:r>
      <w:r>
        <w:t xml:space="preserve">.3 </w:t>
      </w:r>
      <w:r w:rsidRPr="00F924E6">
        <w:t xml:space="preserve">If </w:t>
      </w:r>
      <w:proofErr w:type="spellStart"/>
      <w:r w:rsidRPr="00F924E6">
        <w:t>emplyee</w:t>
      </w:r>
      <w:r>
        <w:t>’s</w:t>
      </w:r>
      <w:proofErr w:type="spellEnd"/>
      <w:r w:rsidRPr="00F924E6">
        <w:t xml:space="preserve"> last working day is from 1st to 15th of the month, employee will not have SS contribution for termination month.</w:t>
      </w:r>
    </w:p>
    <w:p w:rsidR="00562721" w:rsidRDefault="00562721" w:rsidP="00562721">
      <w:pPr>
        <w:pStyle w:val="Normal-withSpaceAfter"/>
      </w:pPr>
      <w:r>
        <w:t>2</w:t>
      </w:r>
      <w:bookmarkStart w:id="0" w:name="_GoBack"/>
      <w:bookmarkEnd w:id="0"/>
      <w:r>
        <w:t xml:space="preserve">.4 </w:t>
      </w:r>
      <w:r w:rsidRPr="00F924E6">
        <w:t xml:space="preserve">If </w:t>
      </w:r>
      <w:proofErr w:type="spellStart"/>
      <w:r w:rsidRPr="00F924E6">
        <w:t>emplyee</w:t>
      </w:r>
      <w:r>
        <w:t>’s</w:t>
      </w:r>
      <w:proofErr w:type="spellEnd"/>
      <w:r w:rsidRPr="00F924E6">
        <w:t xml:space="preserve"> last working day is from 16th to 31st of the month, employee will be subjected to SS contribution in termination month.</w:t>
      </w:r>
    </w:p>
    <w:p w:rsidR="00562721" w:rsidRDefault="00562721" w:rsidP="00562721">
      <w:pPr>
        <w:rPr>
          <w:lang w:val="en-US"/>
        </w:rPr>
      </w:pPr>
    </w:p>
    <w:p w:rsidR="00562721" w:rsidRDefault="00562721" w:rsidP="00562721">
      <w:pPr>
        <w:rPr>
          <w:lang w:val="en-US"/>
        </w:rPr>
      </w:pPr>
      <w:r>
        <w:rPr>
          <w:lang w:val="en-US"/>
        </w:rPr>
        <w:t>Tax Rate:</w:t>
      </w:r>
    </w:p>
    <w:p w:rsidR="00562721" w:rsidRDefault="00562721" w:rsidP="00562721">
      <w:pPr>
        <w:pStyle w:val="BodyText"/>
      </w:pPr>
      <w:r>
        <w:t xml:space="preserve">Different value combination in each field of info type 9520 will result in different tax rate. </w:t>
      </w:r>
    </w:p>
    <w:p w:rsidR="00562721" w:rsidRDefault="00562721" w:rsidP="00562721">
      <w:pPr>
        <w:pStyle w:val="BodyText"/>
      </w:pPr>
      <w:r>
        <w:t xml:space="preserve">For example if IBM provide the master data in IT9520 as combination of B, it will result in 10% tax rate. If as combination of C or D, it will result in 20% flat rate. If data provided as combination A, it will calculate as progressive tax rate. IBM needs to send the data </w:t>
      </w:r>
      <w:proofErr w:type="gramStart"/>
      <w:r>
        <w:t>carefully,</w:t>
      </w:r>
      <w:proofErr w:type="gramEnd"/>
      <w:r>
        <w:t xml:space="preserve"> otherwise the tax calculation will be wrong. </w:t>
      </w:r>
    </w:p>
    <w:tbl>
      <w:tblPr>
        <w:tblW w:w="9980" w:type="dxa"/>
        <w:tblInd w:w="103" w:type="dxa"/>
        <w:tblLook w:val="04A0" w:firstRow="1" w:lastRow="0" w:firstColumn="1" w:lastColumn="0" w:noHBand="0" w:noVBand="1"/>
      </w:tblPr>
      <w:tblGrid>
        <w:gridCol w:w="1706"/>
        <w:gridCol w:w="2127"/>
        <w:gridCol w:w="1984"/>
        <w:gridCol w:w="2126"/>
        <w:gridCol w:w="2037"/>
        <w:tblGridChange w:id="1">
          <w:tblGrid>
            <w:gridCol w:w="1706"/>
            <w:gridCol w:w="2127"/>
            <w:gridCol w:w="1984"/>
            <w:gridCol w:w="2126"/>
            <w:gridCol w:w="2037"/>
          </w:tblGrid>
        </w:tblGridChange>
      </w:tblGrid>
      <w:tr w:rsidR="00562721" w:rsidRPr="005779CE" w:rsidTr="00E83611">
        <w:trPr>
          <w:trHeight w:val="288"/>
        </w:trPr>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ADP Fields</w:t>
            </w:r>
          </w:p>
        </w:tc>
        <w:tc>
          <w:tcPr>
            <w:tcW w:w="2127" w:type="dxa"/>
            <w:tcBorders>
              <w:top w:val="single" w:sz="4" w:space="0" w:color="auto"/>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Combination A</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Combination B</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Combination C</w:t>
            </w:r>
          </w:p>
        </w:tc>
        <w:tc>
          <w:tcPr>
            <w:tcW w:w="2037" w:type="dxa"/>
            <w:tcBorders>
              <w:top w:val="single" w:sz="4" w:space="0" w:color="auto"/>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Combination D</w:t>
            </w:r>
          </w:p>
        </w:tc>
      </w:tr>
      <w:tr w:rsidR="00562721" w:rsidRPr="005779CE" w:rsidTr="00E83611">
        <w:trPr>
          <w:trHeight w:val="288"/>
        </w:trPr>
        <w:tc>
          <w:tcPr>
            <w:tcW w:w="1706" w:type="dxa"/>
            <w:tcBorders>
              <w:top w:val="nil"/>
              <w:left w:val="single" w:sz="4" w:space="0" w:color="auto"/>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Nature Of Person</w:t>
            </w:r>
          </w:p>
        </w:tc>
        <w:tc>
          <w:tcPr>
            <w:tcW w:w="212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Resident</w:t>
            </w:r>
          </w:p>
        </w:tc>
        <w:tc>
          <w:tcPr>
            <w:tcW w:w="1984"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Resident</w:t>
            </w:r>
          </w:p>
        </w:tc>
        <w:tc>
          <w:tcPr>
            <w:tcW w:w="2126"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Resident Without Tax Code</w:t>
            </w:r>
          </w:p>
        </w:tc>
        <w:tc>
          <w:tcPr>
            <w:tcW w:w="203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Non-Resident</w:t>
            </w:r>
          </w:p>
        </w:tc>
      </w:tr>
      <w:tr w:rsidR="00562721" w:rsidRPr="005779CE" w:rsidTr="00E83611">
        <w:trPr>
          <w:trHeight w:val="288"/>
        </w:trPr>
        <w:tc>
          <w:tcPr>
            <w:tcW w:w="1706" w:type="dxa"/>
            <w:tcBorders>
              <w:top w:val="nil"/>
              <w:left w:val="single" w:sz="4" w:space="0" w:color="auto"/>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Nationality</w:t>
            </w:r>
          </w:p>
        </w:tc>
        <w:tc>
          <w:tcPr>
            <w:tcW w:w="212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Vietnamese</w:t>
            </w:r>
          </w:p>
        </w:tc>
        <w:tc>
          <w:tcPr>
            <w:tcW w:w="1984"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Vietnamese</w:t>
            </w:r>
          </w:p>
        </w:tc>
        <w:tc>
          <w:tcPr>
            <w:tcW w:w="2126"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Vietnamese</w:t>
            </w:r>
          </w:p>
        </w:tc>
        <w:tc>
          <w:tcPr>
            <w:tcW w:w="203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Foreigner</w:t>
            </w:r>
          </w:p>
        </w:tc>
      </w:tr>
      <w:tr w:rsidR="00562721" w:rsidRPr="005779CE" w:rsidTr="00E83611">
        <w:trPr>
          <w:trHeight w:val="288"/>
        </w:trPr>
        <w:tc>
          <w:tcPr>
            <w:tcW w:w="1706" w:type="dxa"/>
            <w:tcBorders>
              <w:top w:val="nil"/>
              <w:left w:val="single" w:sz="4" w:space="0" w:color="auto"/>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Employment Category</w:t>
            </w:r>
          </w:p>
        </w:tc>
        <w:tc>
          <w:tcPr>
            <w:tcW w:w="212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Labour Contract</w:t>
            </w:r>
          </w:p>
        </w:tc>
        <w:tc>
          <w:tcPr>
            <w:tcW w:w="1984"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Without Labour Contract</w:t>
            </w:r>
          </w:p>
        </w:tc>
        <w:tc>
          <w:tcPr>
            <w:tcW w:w="2126"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Without Labour Contract</w:t>
            </w:r>
          </w:p>
        </w:tc>
        <w:tc>
          <w:tcPr>
            <w:tcW w:w="2037" w:type="dxa"/>
            <w:tcBorders>
              <w:top w:val="nil"/>
              <w:left w:val="nil"/>
              <w:bottom w:val="single" w:sz="4" w:space="0" w:color="auto"/>
              <w:right w:val="single" w:sz="4" w:space="0" w:color="auto"/>
            </w:tcBorders>
            <w:shd w:val="clear" w:color="auto" w:fill="auto"/>
            <w:noWrap/>
            <w:vAlign w:val="center"/>
          </w:tcPr>
          <w:p w:rsidR="00562721" w:rsidRPr="005779CE" w:rsidRDefault="00562721" w:rsidP="00E83611">
            <w:pPr>
              <w:spacing w:line="240" w:lineRule="auto"/>
              <w:rPr>
                <w:rFonts w:ascii="Calibri" w:hAnsi="Calibri" w:cs="Calibri"/>
                <w:color w:val="000000"/>
              </w:rPr>
            </w:pPr>
            <w:r w:rsidRPr="005779CE">
              <w:rPr>
                <w:rFonts w:ascii="Calibri" w:hAnsi="Calibri" w:cs="Calibri"/>
                <w:color w:val="000000"/>
              </w:rPr>
              <w:t>Labour Contract</w:t>
            </w:r>
          </w:p>
        </w:tc>
      </w:tr>
      <w:tr w:rsidR="00562721" w:rsidRPr="005779CE" w:rsidTr="00E83611">
        <w:trPr>
          <w:trHeight w:val="288"/>
        </w:trPr>
        <w:tc>
          <w:tcPr>
            <w:tcW w:w="1706" w:type="dxa"/>
            <w:tcBorders>
              <w:top w:val="nil"/>
              <w:left w:val="single" w:sz="4" w:space="0" w:color="auto"/>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Result</w:t>
            </w:r>
          </w:p>
        </w:tc>
        <w:tc>
          <w:tcPr>
            <w:tcW w:w="2127" w:type="dxa"/>
            <w:tcBorders>
              <w:top w:val="nil"/>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Progressive Tax Rate</w:t>
            </w:r>
          </w:p>
        </w:tc>
        <w:tc>
          <w:tcPr>
            <w:tcW w:w="1984" w:type="dxa"/>
            <w:tcBorders>
              <w:top w:val="nil"/>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10% Flat Rate</w:t>
            </w:r>
          </w:p>
        </w:tc>
        <w:tc>
          <w:tcPr>
            <w:tcW w:w="2126" w:type="dxa"/>
            <w:tcBorders>
              <w:top w:val="nil"/>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20% Flat Rate</w:t>
            </w:r>
          </w:p>
        </w:tc>
        <w:tc>
          <w:tcPr>
            <w:tcW w:w="2037" w:type="dxa"/>
            <w:tcBorders>
              <w:top w:val="nil"/>
              <w:left w:val="nil"/>
              <w:bottom w:val="single" w:sz="4" w:space="0" w:color="auto"/>
              <w:right w:val="single" w:sz="4" w:space="0" w:color="auto"/>
            </w:tcBorders>
            <w:shd w:val="clear" w:color="auto" w:fill="auto"/>
            <w:noWrap/>
            <w:vAlign w:val="bottom"/>
          </w:tcPr>
          <w:p w:rsidR="00562721" w:rsidRPr="005779CE" w:rsidRDefault="00562721" w:rsidP="00E83611">
            <w:pPr>
              <w:spacing w:line="240" w:lineRule="auto"/>
              <w:rPr>
                <w:rFonts w:ascii="Calibri" w:hAnsi="Calibri" w:cs="Calibri"/>
                <w:b/>
                <w:bCs/>
                <w:color w:val="000000"/>
              </w:rPr>
            </w:pPr>
            <w:r w:rsidRPr="005779CE">
              <w:rPr>
                <w:rFonts w:ascii="Calibri" w:hAnsi="Calibri" w:cs="Calibri"/>
                <w:b/>
                <w:bCs/>
                <w:color w:val="000000"/>
              </w:rPr>
              <w:t>20% Flat Rate</w:t>
            </w:r>
          </w:p>
        </w:tc>
      </w:tr>
    </w:tbl>
    <w:p w:rsidR="00562721" w:rsidRDefault="00562721" w:rsidP="00562721">
      <w:pPr>
        <w:rPr>
          <w:lang w:val="en-US"/>
        </w:rPr>
      </w:pPr>
    </w:p>
    <w:p w:rsidR="00562721" w:rsidRDefault="00562721" w:rsidP="00562721">
      <w:pPr>
        <w:rPr>
          <w:lang w:val="en-US"/>
        </w:rPr>
      </w:pPr>
    </w:p>
    <w:p w:rsidR="00562721" w:rsidRPr="001D3C72" w:rsidRDefault="00562721" w:rsidP="00562721">
      <w:pPr>
        <w:pStyle w:val="BodyText"/>
        <w:rPr>
          <w:b/>
        </w:rPr>
      </w:pPr>
      <w:r>
        <w:rPr>
          <w:b/>
        </w:rPr>
        <w:t>6</w:t>
      </w:r>
      <w:r w:rsidRPr="00974914">
        <w:rPr>
          <w:b/>
        </w:rPr>
        <w:t>. Year End Tax Calculation:</w:t>
      </w:r>
    </w:p>
    <w:p w:rsidR="00562721" w:rsidRDefault="00562721" w:rsidP="00562721">
      <w:pPr>
        <w:pStyle w:val="BodyText"/>
      </w:pPr>
    </w:p>
    <w:p w:rsidR="00562721" w:rsidRDefault="00562721" w:rsidP="00562721">
      <w:pPr>
        <w:pStyle w:val="BodyText"/>
      </w:pPr>
      <w:r>
        <w:t xml:space="preserve">SAP system can only do year end finalization </w:t>
      </w:r>
      <w:proofErr w:type="gramStart"/>
      <w:r>
        <w:t>once  a</w:t>
      </w:r>
      <w:proofErr w:type="gramEnd"/>
      <w:r>
        <w:t xml:space="preserve"> year. IBM wants to do it in Jan of each year. </w:t>
      </w:r>
    </w:p>
    <w:p w:rsidR="00562721" w:rsidRDefault="00562721" w:rsidP="00562721">
      <w:pPr>
        <w:pStyle w:val="BodyText"/>
      </w:pPr>
      <w:r>
        <w:t xml:space="preserve">SAP will recalculate tax for all employees including new </w:t>
      </w:r>
      <w:proofErr w:type="gramStart"/>
      <w:r>
        <w:t>hire  but</w:t>
      </w:r>
      <w:proofErr w:type="gramEnd"/>
      <w:r>
        <w:t xml:space="preserve"> excluding terminated employees, new hire and terminated employees will be included into </w:t>
      </w:r>
      <w:r w:rsidRPr="00A622DF">
        <w:t xml:space="preserve">05/KK-TNCN report. </w:t>
      </w:r>
      <w:r>
        <w:t xml:space="preserve">If IBM doesn’t want ADP to do year end calculation for any EE, IBM has to ticket “direct filing” field in IT9520. </w:t>
      </w:r>
    </w:p>
    <w:p w:rsidR="00562721" w:rsidRDefault="00562721" w:rsidP="00562721">
      <w:pPr>
        <w:pStyle w:val="BodyText"/>
      </w:pPr>
    </w:p>
    <w:p w:rsidR="00562721" w:rsidRDefault="00562721" w:rsidP="00562721">
      <w:pPr>
        <w:pStyle w:val="BodyText"/>
      </w:pPr>
      <w:r>
        <w:t>Step 1: Calculate Annual YTD Taxable Earnings (Jan to Dec)</w:t>
      </w:r>
    </w:p>
    <w:p w:rsidR="00562721" w:rsidRDefault="00562721" w:rsidP="00562721">
      <w:pPr>
        <w:pStyle w:val="BodyText"/>
      </w:pPr>
      <w:r>
        <w:t xml:space="preserve">Step </w:t>
      </w:r>
      <w:proofErr w:type="gramStart"/>
      <w:r>
        <w:t>2 :</w:t>
      </w:r>
      <w:proofErr w:type="gramEnd"/>
      <w:r>
        <w:t xml:space="preserve"> Minus Annual YTD Taxpayer Deduction(Jan to Dec)</w:t>
      </w:r>
    </w:p>
    <w:p w:rsidR="00562721" w:rsidRDefault="00562721" w:rsidP="00562721">
      <w:pPr>
        <w:pStyle w:val="BodyText"/>
      </w:pPr>
      <w:r>
        <w:t>Step 3</w:t>
      </w:r>
      <w:proofErr w:type="gramStart"/>
      <w:r>
        <w:t>::</w:t>
      </w:r>
      <w:proofErr w:type="gramEnd"/>
      <w:r>
        <w:t xml:space="preserve"> Minus Annual YTD Dependent Deduction (Jan to Dec)</w:t>
      </w:r>
    </w:p>
    <w:p w:rsidR="00562721" w:rsidRDefault="00562721" w:rsidP="00562721">
      <w:pPr>
        <w:pStyle w:val="BodyText"/>
      </w:pPr>
      <w:r>
        <w:t xml:space="preserve">Step 4:  Get Annual Taxable Income </w:t>
      </w:r>
      <w:proofErr w:type="gramStart"/>
      <w:r>
        <w:t>After</w:t>
      </w:r>
      <w:proofErr w:type="gramEnd"/>
      <w:r>
        <w:t xml:space="preserve"> Deduction</w:t>
      </w:r>
    </w:p>
    <w:p w:rsidR="00562721" w:rsidRDefault="00562721" w:rsidP="00562721">
      <w:pPr>
        <w:pStyle w:val="BodyText"/>
      </w:pPr>
      <w:proofErr w:type="gramStart"/>
      <w:r>
        <w:t>step</w:t>
      </w:r>
      <w:proofErr w:type="gramEnd"/>
      <w:r>
        <w:t xml:space="preserve"> 5: Calculate tax amount based on step 4 result to get Annual Actual Tax Step 6: : Compare Step 5 result with YTD Paid Tax to get Tax Refund Or Collection</w:t>
      </w:r>
    </w:p>
    <w:p w:rsidR="00562721" w:rsidRDefault="00562721" w:rsidP="00562721">
      <w:pPr>
        <w:pStyle w:val="BodyText"/>
      </w:pPr>
      <w:r>
        <w:t xml:space="preserve">Please </w:t>
      </w:r>
      <w:proofErr w:type="gramStart"/>
      <w:r>
        <w:t>noted</w:t>
      </w:r>
      <w:proofErr w:type="gramEnd"/>
      <w:r>
        <w:t xml:space="preserve"> that ADP will not deduct social insurance after step 3 because the taxable income in step 1 already reduce the social insurance amount. </w:t>
      </w:r>
    </w:p>
    <w:p w:rsidR="00562721" w:rsidRDefault="00562721" w:rsidP="00562721">
      <w:pPr>
        <w:pStyle w:val="BodyText"/>
      </w:pPr>
      <w:r>
        <w:t xml:space="preserve">After </w:t>
      </w:r>
      <w:proofErr w:type="spellStart"/>
      <w:r>
        <w:t>year end</w:t>
      </w:r>
      <w:proofErr w:type="spellEnd"/>
      <w:r>
        <w:t xml:space="preserve"> tax calculation, in Jan next year, if client put any back dated amount in last year, the retro taxable income will not cause </w:t>
      </w:r>
      <w:proofErr w:type="spellStart"/>
      <w:r>
        <w:t>year end</w:t>
      </w:r>
      <w:proofErr w:type="spellEnd"/>
      <w:r>
        <w:t xml:space="preserve"> tax recalculation. It will be brought over to Jan and added on top of Jan taxable income. </w:t>
      </w:r>
    </w:p>
    <w:p w:rsidR="00562721" w:rsidRPr="00562721" w:rsidRDefault="00562721" w:rsidP="00562721">
      <w:pPr>
        <w:rPr>
          <w:lang w:val="en-US"/>
        </w:rPr>
      </w:pPr>
    </w:p>
    <w:sectPr w:rsidR="00562721" w:rsidRPr="0056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13F24"/>
    <w:multiLevelType w:val="hybridMultilevel"/>
    <w:tmpl w:val="D7E884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21"/>
    <w:rsid w:val="002C5DDE"/>
    <w:rsid w:val="00562721"/>
    <w:rsid w:val="00DB056D"/>
    <w:rsid w:val="00F460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21"/>
    <w:pPr>
      <w:ind w:left="720"/>
      <w:contextualSpacing/>
    </w:pPr>
  </w:style>
  <w:style w:type="paragraph" w:customStyle="1" w:styleId="Normal-withSpaceAfter">
    <w:name w:val="Normal - with Space After"/>
    <w:basedOn w:val="Normal"/>
    <w:link w:val="Normal-withSpaceAfterChar"/>
    <w:rsid w:val="00562721"/>
    <w:pPr>
      <w:spacing w:after="240" w:line="240" w:lineRule="atLeast"/>
    </w:pPr>
    <w:rPr>
      <w:rFonts w:ascii="Palatino Linotype" w:eastAsia="Times New Roman" w:hAnsi="Palatino Linotype" w:cs="Times New Roman"/>
      <w:szCs w:val="20"/>
      <w:lang w:val="en-US" w:eastAsia="en-US"/>
    </w:rPr>
  </w:style>
  <w:style w:type="character" w:customStyle="1" w:styleId="Normal-withSpaceAfterChar">
    <w:name w:val="Normal - with Space After Char"/>
    <w:link w:val="Normal-withSpaceAfter"/>
    <w:rsid w:val="00562721"/>
    <w:rPr>
      <w:rFonts w:ascii="Palatino Linotype" w:eastAsia="Times New Roman" w:hAnsi="Palatino Linotype" w:cs="Times New Roman"/>
      <w:szCs w:val="20"/>
      <w:lang w:val="en-US" w:eastAsia="en-US"/>
    </w:rPr>
  </w:style>
  <w:style w:type="paragraph" w:styleId="BodyText">
    <w:name w:val="Body Text"/>
    <w:basedOn w:val="Normal"/>
    <w:link w:val="BodyTextChar"/>
    <w:rsid w:val="00562721"/>
    <w:pPr>
      <w:spacing w:after="120" w:line="240" w:lineRule="atLeast"/>
    </w:pPr>
    <w:rPr>
      <w:rFonts w:ascii="Palatino Linotype" w:eastAsia="Times New Roman" w:hAnsi="Palatino Linotype" w:cs="Times New Roman"/>
      <w:bCs/>
      <w:szCs w:val="20"/>
      <w:lang w:val="en-US" w:eastAsia="en-US"/>
    </w:rPr>
  </w:style>
  <w:style w:type="character" w:customStyle="1" w:styleId="BodyTextChar">
    <w:name w:val="Body Text Char"/>
    <w:basedOn w:val="DefaultParagraphFont"/>
    <w:link w:val="BodyText"/>
    <w:rsid w:val="00562721"/>
    <w:rPr>
      <w:rFonts w:ascii="Palatino Linotype" w:eastAsia="Times New Roman" w:hAnsi="Palatino Linotype" w:cs="Times New Roman"/>
      <w:bCs/>
      <w:szCs w:val="20"/>
      <w:lang w:val="en-US" w:eastAsia="en-US"/>
    </w:rPr>
  </w:style>
  <w:style w:type="paragraph" w:styleId="BodyTextIndent">
    <w:name w:val="Body Text Indent"/>
    <w:basedOn w:val="Normal"/>
    <w:link w:val="BodyTextIndentChar"/>
    <w:uiPriority w:val="99"/>
    <w:semiHidden/>
    <w:unhideWhenUsed/>
    <w:rsid w:val="00562721"/>
    <w:pPr>
      <w:spacing w:after="120"/>
      <w:ind w:left="283"/>
    </w:pPr>
  </w:style>
  <w:style w:type="character" w:customStyle="1" w:styleId="BodyTextIndentChar">
    <w:name w:val="Body Text Indent Char"/>
    <w:basedOn w:val="DefaultParagraphFont"/>
    <w:link w:val="BodyTextIndent"/>
    <w:uiPriority w:val="99"/>
    <w:semiHidden/>
    <w:rsid w:val="00562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21"/>
    <w:pPr>
      <w:ind w:left="720"/>
      <w:contextualSpacing/>
    </w:pPr>
  </w:style>
  <w:style w:type="paragraph" w:customStyle="1" w:styleId="Normal-withSpaceAfter">
    <w:name w:val="Normal - with Space After"/>
    <w:basedOn w:val="Normal"/>
    <w:link w:val="Normal-withSpaceAfterChar"/>
    <w:rsid w:val="00562721"/>
    <w:pPr>
      <w:spacing w:after="240" w:line="240" w:lineRule="atLeast"/>
    </w:pPr>
    <w:rPr>
      <w:rFonts w:ascii="Palatino Linotype" w:eastAsia="Times New Roman" w:hAnsi="Palatino Linotype" w:cs="Times New Roman"/>
      <w:szCs w:val="20"/>
      <w:lang w:val="en-US" w:eastAsia="en-US"/>
    </w:rPr>
  </w:style>
  <w:style w:type="character" w:customStyle="1" w:styleId="Normal-withSpaceAfterChar">
    <w:name w:val="Normal - with Space After Char"/>
    <w:link w:val="Normal-withSpaceAfter"/>
    <w:rsid w:val="00562721"/>
    <w:rPr>
      <w:rFonts w:ascii="Palatino Linotype" w:eastAsia="Times New Roman" w:hAnsi="Palatino Linotype" w:cs="Times New Roman"/>
      <w:szCs w:val="20"/>
      <w:lang w:val="en-US" w:eastAsia="en-US"/>
    </w:rPr>
  </w:style>
  <w:style w:type="paragraph" w:styleId="BodyText">
    <w:name w:val="Body Text"/>
    <w:basedOn w:val="Normal"/>
    <w:link w:val="BodyTextChar"/>
    <w:rsid w:val="00562721"/>
    <w:pPr>
      <w:spacing w:after="120" w:line="240" w:lineRule="atLeast"/>
    </w:pPr>
    <w:rPr>
      <w:rFonts w:ascii="Palatino Linotype" w:eastAsia="Times New Roman" w:hAnsi="Palatino Linotype" w:cs="Times New Roman"/>
      <w:bCs/>
      <w:szCs w:val="20"/>
      <w:lang w:val="en-US" w:eastAsia="en-US"/>
    </w:rPr>
  </w:style>
  <w:style w:type="character" w:customStyle="1" w:styleId="BodyTextChar">
    <w:name w:val="Body Text Char"/>
    <w:basedOn w:val="DefaultParagraphFont"/>
    <w:link w:val="BodyText"/>
    <w:rsid w:val="00562721"/>
    <w:rPr>
      <w:rFonts w:ascii="Palatino Linotype" w:eastAsia="Times New Roman" w:hAnsi="Palatino Linotype" w:cs="Times New Roman"/>
      <w:bCs/>
      <w:szCs w:val="20"/>
      <w:lang w:val="en-US" w:eastAsia="en-US"/>
    </w:rPr>
  </w:style>
  <w:style w:type="paragraph" w:styleId="BodyTextIndent">
    <w:name w:val="Body Text Indent"/>
    <w:basedOn w:val="Normal"/>
    <w:link w:val="BodyTextIndentChar"/>
    <w:uiPriority w:val="99"/>
    <w:semiHidden/>
    <w:unhideWhenUsed/>
    <w:rsid w:val="00562721"/>
    <w:pPr>
      <w:spacing w:after="120"/>
      <w:ind w:left="283"/>
    </w:pPr>
  </w:style>
  <w:style w:type="character" w:customStyle="1" w:styleId="BodyTextIndentChar">
    <w:name w:val="Body Text Indent Char"/>
    <w:basedOn w:val="DefaultParagraphFont"/>
    <w:link w:val="BodyTextIndent"/>
    <w:uiPriority w:val="99"/>
    <w:semiHidden/>
    <w:rsid w:val="0056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ADP Employer Services</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Anna (ESI)</dc:creator>
  <cp:lastModifiedBy>Yue, Anna (ESI)</cp:lastModifiedBy>
  <cp:revision>1</cp:revision>
  <dcterms:created xsi:type="dcterms:W3CDTF">2019-06-12T00:01:00Z</dcterms:created>
  <dcterms:modified xsi:type="dcterms:W3CDTF">2019-06-12T00:06:00Z</dcterms:modified>
</cp:coreProperties>
</file>