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Calibri" w:hAnsi="Calibri"/>
          <w:b/>
          <w:i w:val="0"/>
          <w:color w:val="132238"/>
          <w:sz w:val="54"/>
        </w:rPr>
        <w:t>Edge Terminal</w:t>
      </w:r>
    </w:p>
    <w:p>
      <w:pPr>
        <w:keepNext/>
        <w:spacing w:before="0" w:after="160"/>
      </w:pPr>
      <w:r>
        <w:rPr>
          <w:rFonts w:ascii="Calibri" w:hAnsi="Calibri"/>
          <w:b/>
          <w:i w:val="0"/>
          <w:color w:val="2A9D8F"/>
          <w:sz w:val="25"/>
        </w:rPr>
        <w:t>Van nieuws naar toetsbaar swing-tradingadvies</w:t>
      </w:r>
    </w:p>
    <w:p>
      <w:pPr>
        <w:spacing w:before="0" w:after="140" w:line="259" w:lineRule="auto"/>
        <w:ind w:left="202" w:right="115"/>
        <w:shd w:fill="EEF5F5"/>
        <w:pBdr>
          <w:left w:val="single" w:sz="18" w:space="8" w:color="2A9D8F"/>
        </w:pBdr>
      </w:pPr>
      <w:r>
        <w:rPr>
          <w:rFonts w:ascii="Calibri" w:hAnsi="Calibri"/>
          <w:b/>
          <w:i w:val="0"/>
          <w:color w:val="132238"/>
          <w:sz w:val="21"/>
        </w:rPr>
        <w:t>Edge Terminal is Robins persoonlijke adviesmachine voor swing trading op nieuws. De app zet een brede informatiestroom om in maximaal vijf concrete long- of shortadviezen met entry, stop, target en onderbouwing. Robin beslist en handelt zelf; de software voert nooit trades uit.</w:t>
      </w:r>
    </w:p>
    <w:p>
      <w:pPr>
        <w:pStyle w:val="Heading1"/>
        <w:keepNext/>
      </w:pPr>
      <w:r>
        <w:t>Wat het doet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1F5A7A"/>
          <w:sz w:val="22"/>
        </w:rPr>
        <w:t xml:space="preserve">Twee marktmomenten. </w:t>
      </w:r>
      <w:r>
        <w:rPr>
          <w:rFonts w:ascii="Calibri" w:hAnsi="Calibri"/>
          <w:b w:val="0"/>
          <w:i w:val="0"/>
          <w:color w:val="202833"/>
          <w:sz w:val="22"/>
        </w:rPr>
        <w:t>De EU-open en US-open profielen bepalen het tijdvenster, de bronqueries en de marktcontext. In de lokale MVP start Robin deze runs handmatig vanaf het dashboard.</w:t>
      </w:r>
    </w:p>
    <w:p>
      <w:pPr>
        <w:spacing w:before="0" w:after="60" w:line="264" w:lineRule="auto"/>
      </w:pPr>
      <w:r>
        <w:rPr>
          <w:rFonts w:ascii="Calibri" w:hAnsi="Calibri"/>
          <w:b/>
          <w:i w:val="0"/>
          <w:color w:val="1F5A7A"/>
          <w:sz w:val="22"/>
        </w:rPr>
        <w:t xml:space="preserve">Expliciete output. </w:t>
      </w:r>
      <w:r>
        <w:rPr>
          <w:rFonts w:ascii="Calibri" w:hAnsi="Calibri"/>
          <w:b w:val="0"/>
          <w:i w:val="0"/>
          <w:color w:val="202833"/>
          <w:sz w:val="22"/>
        </w:rPr>
        <w:t>Elk advies bevat ticker en richting, entry-zone, stop-loss, target, horizon, confidence, redenering, tegenargument, invalidatie, bronlinks en een uitvoerbaarheidscheck. 'Geen advies' is een geldige uitkomst.</w:t>
      </w:r>
    </w:p>
    <w:p>
      <w:pPr>
        <w:spacing w:before="0" w:after="100" w:line="264" w:lineRule="auto"/>
      </w:pPr>
      <w:r>
        <w:rPr>
          <w:rFonts w:ascii="Calibri" w:hAnsi="Calibri"/>
          <w:b/>
          <w:i w:val="0"/>
          <w:color w:val="1F5A7A"/>
          <w:sz w:val="22"/>
        </w:rPr>
        <w:t xml:space="preserve">Leren van elk advies. </w:t>
      </w:r>
      <w:r>
        <w:rPr>
          <w:rFonts w:ascii="Calibri" w:hAnsi="Calibri"/>
          <w:b w:val="0"/>
          <w:i w:val="0"/>
          <w:color w:val="202833"/>
          <w:sz w:val="22"/>
        </w:rPr>
        <w:t>Ook niet-genomen adviezen worden automatisch gevolgd op D1, D3 en D5 en op stop/target. Het Performance Lab laat zien welke eventtypes, richtingen en confidence-banden netto waarde hebben.</w:t>
      </w:r>
    </w:p>
    <w:p>
      <w:pPr>
        <w:pStyle w:val="Heading1"/>
        <w:keepNext/>
      </w:pPr>
      <w:r>
        <w:t>Van bron naar advies</w:t>
      </w:r>
    </w:p>
    <w:p>
      <w:pPr>
        <w:spacing w:before="0" w:after="80" w:line="240" w:lineRule="auto"/>
        <w:shd w:fill="EAF0F5"/>
      </w:pPr>
      <w:r>
        <w:rPr>
          <w:rFonts w:ascii="Consolas" w:hAnsi="Consolas"/>
          <w:b/>
          <w:i w:val="0"/>
          <w:color w:val="132238"/>
          <w:sz w:val="17"/>
        </w:rPr>
        <w:t>BRONNEN -&gt; NORMALISEREN + DEDUPE -&gt; FILTEREN -&gt; ANALYSE + SETUP + RISK -&gt; UITVOERBAARHEID + RANKING -&gt; TOP 5 -&gt; TRACKING + LEREN</w:t>
      </w:r>
    </w:p>
    <w:p>
      <w:pPr>
        <w:spacing w:before="0" w:after="100" w:line="264" w:lineRule="auto"/>
      </w:pPr>
      <w:r>
        <w:rPr>
          <w:rFonts w:ascii="Calibri" w:hAnsi="Calibri"/>
          <w:b/>
          <w:i w:val="0"/>
          <w:color w:val="1F5A7A"/>
          <w:sz w:val="22"/>
        </w:rPr>
        <w:t xml:space="preserve">De beoogde edge zit niet in snelheid, maar in tweede-orde beoordeling: </w:t>
      </w:r>
      <w:r>
        <w:rPr>
          <w:rFonts w:ascii="Calibri" w:hAnsi="Calibri"/>
          <w:b w:val="0"/>
          <w:i w:val="0"/>
          <w:color w:val="202833"/>
          <w:sz w:val="22"/>
        </w:rPr>
        <w:t>is een eerste koersreactie overdreven of juist onvolledig voor de komende dagen tot twee weken? De pipeline zoekt daarnaast aandachtsgaten via brede nieuwsfeeds, filings, officiële bronnen en opvallende movers.</w:t>
      </w:r>
    </w:p>
    <w:p>
      <w:pPr>
        <w:pStyle w:val="Heading1"/>
        <w:keepNext/>
      </w:pPr>
      <w:r>
        <w:t>Hoe het is gebouwd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BD6DE"/>
          <w:left w:val="single" w:sz="6" w:space="0" w:color="CBD6DE"/>
          <w:bottom w:val="single" w:sz="6" w:space="0" w:color="CBD6DE"/>
          <w:right w:val="single" w:sz="6" w:space="0" w:color="CBD6DE"/>
          <w:insideH w:val="single" w:sz="6" w:space="0" w:color="CBD6DE"/>
          <w:insideV w:val="single" w:sz="6" w:space="0" w:color="CBD6DE"/>
        </w:tblBorders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shd w:fill="132238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LAAG</w:t>
            </w:r>
          </w:p>
        </w:tc>
        <w:tc>
          <w:tcPr>
            <w:tcW w:type="dxa" w:w="7310"/>
            <w:shd w:fill="132238"/>
            <w:tcMar>
              <w:top w:w="80" w:type="dxa"/>
              <w:start w:w="140" w:type="dxa"/>
              <w:bottom w:w="8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IMPLEMENTATIE</w:t>
            </w:r>
          </w:p>
        </w:tc>
      </w:tr>
      <w:tr>
        <w:tc>
          <w:tcPr>
            <w:tcW w:type="dxa" w:w="2050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  <w:shd w:fill="EAF0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5A7A"/>
                <w:sz w:val="18"/>
              </w:rPr>
              <w:t>Webapp</w:t>
            </w:r>
          </w:p>
        </w:tc>
        <w:tc>
          <w:tcPr>
            <w:tcW w:type="dxa" w:w="7310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833"/>
                <w:sz w:val="18"/>
              </w:rPr>
              <w:t>Next.js App Router, React, TypeScript en Tailwind; server components voor lezen en server actions/route handlers voor de pipeline.</w:t>
            </w:r>
          </w:p>
        </w:tc>
      </w:tr>
      <w:tr>
        <w:tc>
          <w:tcPr>
            <w:tcW w:type="dxa" w:w="2050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  <w:shd w:fill="EAF0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5A7A"/>
                <w:sz w:val="18"/>
              </w:rPr>
              <w:t>Opslag</w:t>
            </w:r>
          </w:p>
        </w:tc>
        <w:tc>
          <w:tcPr>
            <w:tcW w:type="dxa" w:w="7310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833"/>
                <w:sz w:val="18"/>
              </w:rPr>
              <w:t>Local-first SQLite in .data/edge-terminal.sqlite. Demo mode levert deterministische voorbeelddata; Supabase/Postgres/RLS en Vercel volgen pas na lokale validatie.</w:t>
            </w:r>
          </w:p>
        </w:tc>
      </w:tr>
      <w:tr>
        <w:tc>
          <w:tcPr>
            <w:tcW w:type="dxa" w:w="2050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  <w:shd w:fill="EAF0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5A7A"/>
                <w:sz w:val="18"/>
              </w:rPr>
              <w:t>Bronnen</w:t>
            </w:r>
          </w:p>
        </w:tc>
        <w:tc>
          <w:tcPr>
            <w:tcW w:type="dxa" w:w="7310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833"/>
                <w:sz w:val="18"/>
              </w:rPr>
              <w:t>Vervangbare adapters voor Finnhub, SEC EDGAR, GDELT, RSS/IR/official feeds, Alpha Vantage movers en exchange alerts. Bronfouten zijn non-fataal en provenance blijft bewaard.</w:t>
            </w:r>
          </w:p>
        </w:tc>
      </w:tr>
      <w:tr>
        <w:tc>
          <w:tcPr>
            <w:tcW w:type="dxa" w:w="2050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  <w:shd w:fill="EAF0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5A7A"/>
                <w:sz w:val="18"/>
              </w:rPr>
              <w:t>AI-keten</w:t>
            </w:r>
          </w:p>
        </w:tc>
        <w:tc>
          <w:tcPr>
            <w:tcW w:type="dxa" w:w="7310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833"/>
                <w:sz w:val="18"/>
              </w:rPr>
              <w:t>OpenAI met een goedkoop filtermodel en een sterker analysemodel. Structured JSON-outputs, promptversies, input/output, tokens en kosten worden per stap gelogd.</w:t>
            </w:r>
          </w:p>
        </w:tc>
      </w:tr>
      <w:tr>
        <w:tc>
          <w:tcPr>
            <w:tcW w:type="dxa" w:w="2050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  <w:shd w:fill="EAF0F5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5A7A"/>
                <w:sz w:val="18"/>
              </w:rPr>
              <w:t>Kwaliteit</w:t>
            </w:r>
          </w:p>
        </w:tc>
        <w:tc>
          <w:tcPr>
            <w:tcW w:type="dxa" w:w="7310"/>
            <w:tcMar>
              <w:top w:w="70" w:type="dxa"/>
              <w:start w:w="140" w:type="dxa"/>
              <w:bottom w:w="7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202833"/>
                <w:sz w:val="18"/>
              </w:rPr>
              <w:t>Unit tests voor scoring, dedupe, assembly, tracking en risk; Playwright voor de route run -&gt; top 5 -&gt; adviesdetail -&gt; tracking. Alle keys blijven server-only.</w:t>
            </w:r>
          </w:p>
        </w:tc>
      </w:tr>
    </w:tbl>
    <w:p>
      <w:pPr>
        <w:pStyle w:val="Heading1"/>
        <w:keepNext/>
      </w:pPr>
      <w:r>
        <w:t>Risico en huidige staat</w:t>
      </w:r>
    </w:p>
    <w:p>
      <w:pPr>
        <w:spacing w:before="0" w:after="0" w:line="259" w:lineRule="auto"/>
      </w:pPr>
      <w:r>
        <w:rPr>
          <w:rFonts w:ascii="Calibri" w:hAnsi="Calibri"/>
          <w:b/>
          <w:i w:val="0"/>
          <w:color w:val="1F5A7A"/>
          <w:sz w:val="22"/>
        </w:rPr>
        <w:t xml:space="preserve">Risk by design. </w:t>
      </w:r>
      <w:r>
        <w:rPr>
          <w:rFonts w:ascii="Calibri" w:hAnsi="Calibri"/>
          <w:b w:val="0"/>
          <w:i w:val="0"/>
          <w:color w:val="202833"/>
          <w:sz w:val="22"/>
        </w:rPr>
        <w:t>De ranking weegt kosten, liquiditeit, correlatie en gap/squeeze-risico mee; de kostenhorde eist dat round-tripkosten hoogstens een derde van de verwachte beweging zijn. De lokale MVP bevat inmiddels live bronnen, de OpenAI-keten, tracking, Performance Lab en guardrails. De volgende stap is vier weken lokaal valideren voordat cloud-deploy zinvol 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08" w:left="1181" w:header="490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left"/>
    </w:pPr>
    <w:r>
      <w:rPr>
        <w:rFonts w:ascii="Calibri" w:hAnsi="Calibri"/>
        <w:b w:val="0"/>
        <w:i w:val="0"/>
        <w:color w:val="5E6B78"/>
        <w:sz w:val="17"/>
      </w:rPr>
      <w:t>NewDefault  |  5 augustus 2026  |  Persoonlijk gebruik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5E6B78"/>
        <w:sz w:val="17"/>
      </w:rPr>
      <w:t>PRODUCT ONEPAGER  /  EDGE TERMINAL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4" w:lineRule="auto"/>
    </w:pPr>
    <w:rPr>
      <w:rFonts w:ascii="Calibri" w:hAnsi="Calibri"/>
      <w:color w:val="2028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5A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5A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322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Edge Terminal - onepager</dc:title>
  <dc:subject>Wat Edge Terminal doet en hoe de lokale MVP is gebouwd</dc:subject>
  <dc:creator>NewDefault</dc:creator>
  <cp:keywords>Edge Terminal, swing trading, nieuws, Next.js, SQLite, OpenAI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